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cs="Times New Roman"/>
        </w:rPr>
      </w:pPr>
      <w:r>
        <w:rPr>
          <w:rFonts w:hint="eastAsia" w:ascii="方正黑体_GBK" w:hAnsi="方正黑体_GBK" w:eastAsia="方正黑体_GBK" w:cs="方正黑体_GBK"/>
          <w:sz w:val="21"/>
          <w:szCs w:val="21"/>
          <w:lang w:val="en-US" w:eastAsia="zh-CN"/>
        </w:rPr>
        <w:t>附件：</w:t>
      </w:r>
      <w:r>
        <w:rPr>
          <w:rFonts w:hint="eastAsia" w:ascii="方正黑体_GBK" w:hAnsi="方正黑体_GBK" w:eastAsia="方正黑体_GBK" w:cs="方正黑体_GBK"/>
        </w:rPr>
        <w:t xml:space="preserve"> </w:t>
      </w:r>
      <w:r>
        <w:rPr>
          <w:rFonts w:hint="default" w:ascii="Times New Roman" w:hAnsi="Times New Roman" w:cs="Times New Roman"/>
        </w:rPr>
        <w:t xml:space="preserve">                                             </w:t>
      </w:r>
    </w:p>
    <w:tbl>
      <w:tblPr>
        <w:tblStyle w:val="5"/>
        <w:tblW w:w="14700"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5"/>
        <w:gridCol w:w="1425"/>
        <w:gridCol w:w="3435"/>
        <w:gridCol w:w="1590"/>
        <w:gridCol w:w="1590"/>
        <w:gridCol w:w="1620"/>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4700"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bookmarkStart w:id="0" w:name="_GoBack"/>
            <w:r>
              <w:rPr>
                <w:rFonts w:hint="eastAsia" w:ascii="方正小标宋_GBK" w:hAnsi="方正小标宋_GBK" w:eastAsia="方正小标宋_GBK" w:cs="方正小标宋_GBK"/>
                <w:i w:val="0"/>
                <w:color w:val="000000"/>
                <w:kern w:val="0"/>
                <w:sz w:val="40"/>
                <w:szCs w:val="40"/>
                <w:u w:val="none"/>
                <w:lang w:val="en-US" w:eastAsia="zh-CN" w:bidi="ar"/>
              </w:rPr>
              <w:t>陇川县城市供排水用水终端价格表（含税）</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用水类别</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价格类别</w:t>
            </w:r>
          </w:p>
        </w:tc>
        <w:tc>
          <w:tcPr>
            <w:tcW w:w="5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调整后城市供水终端价格</w:t>
            </w:r>
          </w:p>
        </w:tc>
        <w:tc>
          <w:tcPr>
            <w:tcW w:w="32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其中：</w:t>
            </w:r>
          </w:p>
        </w:tc>
        <w:tc>
          <w:tcPr>
            <w:tcW w:w="31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trPr>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阶梯水量分布</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（m³/每户.每月）</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供水价格</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（元/m³）</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自来水价格</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污水处理价格</w:t>
            </w:r>
          </w:p>
        </w:tc>
        <w:tc>
          <w:tcPr>
            <w:tcW w:w="31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exact"/>
        </w:trPr>
        <w:tc>
          <w:tcPr>
            <w:tcW w:w="187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居民生活用水</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第一阶梯</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水量≤20m³</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2.54</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0.90</w:t>
            </w:r>
          </w:p>
        </w:tc>
        <w:tc>
          <w:tcPr>
            <w:tcW w:w="31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对家庭人口超过4人且用水</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没有用于商业用途的居民户，按每增加1人，第一阶梯</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月用水量增加5m³、第二阶</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梯月用水量增加7.5m³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187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第二阶梯</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21≤水量≤30m³</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3.36</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0.90</w:t>
            </w:r>
          </w:p>
        </w:tc>
        <w:tc>
          <w:tcPr>
            <w:tcW w:w="31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187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第三阶梯</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水量</w:t>
            </w:r>
            <w:r>
              <w:rPr>
                <w:rStyle w:val="7"/>
                <w:rFonts w:hint="default" w:ascii="Times New Roman" w:hAnsi="Times New Roman" w:eastAsia="宋体" w:cs="Times New Roman"/>
                <w:lang w:val="en-US" w:eastAsia="zh-CN" w:bidi="ar"/>
              </w:rPr>
              <w:t>≥</w:t>
            </w:r>
            <w:r>
              <w:rPr>
                <w:rFonts w:hint="default" w:ascii="Times New Roman" w:hAnsi="Times New Roman" w:eastAsia="宋体" w:cs="Times New Roman"/>
                <w:i w:val="0"/>
                <w:color w:val="000000"/>
                <w:kern w:val="0"/>
                <w:sz w:val="24"/>
                <w:szCs w:val="24"/>
                <w:u w:val="none"/>
                <w:lang w:val="en-US" w:eastAsia="zh-CN" w:bidi="ar"/>
              </w:rPr>
              <w:t>31m³</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5.82</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0.90</w:t>
            </w:r>
          </w:p>
        </w:tc>
        <w:tc>
          <w:tcPr>
            <w:tcW w:w="31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非居民用水</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第一档</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用水定额标准以内（含）</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3.03</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31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用水定额由水行政主管部门</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合同供水企业依照《云南省</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地方用水定额标准》，分类</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具体核定。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第二档</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超定额用水30%以内（含30%）</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3.92</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2.67</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31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i w:val="0"/>
                <w:color w:val="000000"/>
                <w:sz w:val="24"/>
                <w:szCs w:val="24"/>
                <w:u w:val="none"/>
              </w:rPr>
            </w:pPr>
          </w:p>
        </w:tc>
        <w:tc>
          <w:tcPr>
            <w:tcW w:w="14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方正楷体_GBK" w:hAnsi="方正楷体_GBK" w:eastAsia="方正楷体_GBK" w:cs="方正楷体_GBK"/>
                <w:i w:val="0"/>
                <w:color w:val="000000"/>
                <w:sz w:val="24"/>
                <w:szCs w:val="24"/>
                <w:u w:val="none"/>
              </w:rPr>
            </w:pPr>
            <w:r>
              <w:rPr>
                <w:rFonts w:hint="eastAsia" w:ascii="方正楷体_GBK" w:hAnsi="方正楷体_GBK" w:eastAsia="方正楷体_GBK" w:cs="方正楷体_GBK"/>
                <w:i w:val="0"/>
                <w:color w:val="000000"/>
                <w:kern w:val="0"/>
                <w:sz w:val="24"/>
                <w:szCs w:val="24"/>
                <w:u w:val="none"/>
                <w:lang w:val="en-US" w:eastAsia="zh-CN" w:bidi="ar"/>
              </w:rPr>
              <w:t>第三档</w:t>
            </w: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超定额用水30%以上</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4.81</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31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特种用水</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6.59</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5.34</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3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14700"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8"/>
                <w:lang w:val="en-US" w:eastAsia="zh-CN" w:bidi="ar"/>
              </w:rPr>
              <w:t>注：</w:t>
            </w:r>
            <w:r>
              <w:rPr>
                <w:rFonts w:hint="eastAsia" w:ascii="方正仿宋_GBK" w:hAnsi="方正仿宋_GBK" w:eastAsia="方正仿宋_GBK" w:cs="方正仿宋_GBK"/>
                <w:i w:val="0"/>
                <w:color w:val="000000"/>
                <w:kern w:val="0"/>
                <w:sz w:val="24"/>
                <w:szCs w:val="24"/>
                <w:u w:val="none"/>
                <w:lang w:val="en-US" w:eastAsia="zh-CN" w:bidi="ar"/>
              </w:rPr>
              <w:t>自来水价格，均含原水费</w:t>
            </w:r>
            <w:r>
              <w:rPr>
                <w:rFonts w:hint="default" w:ascii="Times New Roman" w:hAnsi="Times New Roman" w:eastAsia="宋体" w:cs="Times New Roman"/>
                <w:i w:val="0"/>
                <w:color w:val="000000"/>
                <w:kern w:val="0"/>
                <w:sz w:val="24"/>
                <w:szCs w:val="24"/>
                <w:u w:val="none"/>
                <w:lang w:val="en-US" w:eastAsia="zh-CN" w:bidi="ar"/>
              </w:rPr>
              <w:t>0.12</w:t>
            </w:r>
            <w:r>
              <w:rPr>
                <w:rFonts w:hint="eastAsia" w:ascii="方正仿宋_GBK" w:hAnsi="方正仿宋_GBK" w:eastAsia="方正仿宋_GBK" w:cs="方正仿宋_GBK"/>
                <w:i w:val="0"/>
                <w:color w:val="000000"/>
                <w:kern w:val="0"/>
                <w:sz w:val="24"/>
                <w:szCs w:val="24"/>
                <w:u w:val="none"/>
                <w:lang w:val="en-US" w:eastAsia="zh-CN" w:bidi="ar"/>
              </w:rPr>
              <w:t>元</w:t>
            </w:r>
            <w:r>
              <w:rPr>
                <w:rFonts w:hint="default" w:ascii="Times New Roman" w:hAnsi="Times New Roman" w:eastAsia="宋体" w:cs="Times New Roman"/>
                <w:i w:val="0"/>
                <w:color w:val="000000"/>
                <w:kern w:val="0"/>
                <w:sz w:val="24"/>
                <w:szCs w:val="24"/>
                <w:u w:val="none"/>
                <w:lang w:val="en-US" w:eastAsia="zh-CN" w:bidi="ar"/>
              </w:rPr>
              <w:t>/m³</w:t>
            </w:r>
            <w:r>
              <w:rPr>
                <w:rFonts w:hint="eastAsia" w:ascii="方正仿宋_GBK" w:hAnsi="方正仿宋_GBK" w:eastAsia="方正仿宋_GBK" w:cs="方正仿宋_GBK"/>
                <w:i w:val="0"/>
                <w:color w:val="000000"/>
                <w:kern w:val="0"/>
                <w:sz w:val="24"/>
                <w:szCs w:val="24"/>
                <w:u w:val="none"/>
                <w:lang w:val="en-US" w:eastAsia="zh-CN" w:bidi="ar"/>
              </w:rPr>
              <w:t>、水资源费</w:t>
            </w:r>
            <w:r>
              <w:rPr>
                <w:rFonts w:hint="default" w:ascii="Times New Roman" w:hAnsi="Times New Roman" w:eastAsia="宋体" w:cs="Times New Roman"/>
                <w:i w:val="0"/>
                <w:color w:val="000000"/>
                <w:kern w:val="0"/>
                <w:sz w:val="24"/>
                <w:szCs w:val="24"/>
                <w:u w:val="none"/>
                <w:lang w:val="en-US" w:eastAsia="zh-CN" w:bidi="ar"/>
              </w:rPr>
              <w:t>0.20</w:t>
            </w:r>
            <w:r>
              <w:rPr>
                <w:rFonts w:hint="eastAsia" w:ascii="方正仿宋_GBK" w:hAnsi="方正仿宋_GBK" w:eastAsia="方正仿宋_GBK" w:cs="方正仿宋_GBK"/>
                <w:i w:val="0"/>
                <w:color w:val="000000"/>
                <w:kern w:val="0"/>
                <w:sz w:val="24"/>
                <w:szCs w:val="24"/>
                <w:u w:val="none"/>
                <w:lang w:val="en-US" w:eastAsia="zh-CN" w:bidi="ar"/>
              </w:rPr>
              <w:t>元</w:t>
            </w:r>
            <w:r>
              <w:rPr>
                <w:rFonts w:hint="default" w:ascii="Times New Roman" w:hAnsi="Times New Roman" w:eastAsia="宋体" w:cs="Times New Roman"/>
                <w:i w:val="0"/>
                <w:color w:val="000000"/>
                <w:kern w:val="0"/>
                <w:sz w:val="24"/>
                <w:szCs w:val="24"/>
                <w:u w:val="none"/>
                <w:lang w:val="en-US" w:eastAsia="zh-CN" w:bidi="ar"/>
              </w:rPr>
              <w:t>/m³</w:t>
            </w:r>
            <w:r>
              <w:rPr>
                <w:rFonts w:hint="eastAsia" w:ascii="方正仿宋_GBK" w:hAnsi="方正仿宋_GBK" w:eastAsia="方正仿宋_GBK" w:cs="方正仿宋_GBK"/>
                <w:i w:val="0"/>
                <w:color w:val="000000"/>
                <w:kern w:val="0"/>
                <w:sz w:val="24"/>
                <w:szCs w:val="24"/>
                <w:u w:val="none"/>
                <w:lang w:val="en-US" w:eastAsia="zh-CN" w:bidi="ar"/>
              </w:rPr>
              <w:t>。</w:t>
            </w:r>
          </w:p>
        </w:tc>
      </w:tr>
    </w:tbl>
    <w:p/>
    <w:sectPr>
      <w:pgSz w:w="16838" w:h="11906" w:orient="landscape"/>
      <w:pgMar w:top="1417"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C615F"/>
    <w:rsid w:val="541C6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figures"/>
    <w:basedOn w:val="3"/>
    <w:next w:val="3"/>
    <w:uiPriority w:val="0"/>
    <w:pPr>
      <w:snapToGrid/>
      <w:spacing w:line="240" w:lineRule="auto"/>
      <w:ind w:left="200" w:leftChars="200" w:hanging="200" w:hangingChars="200"/>
    </w:pPr>
    <w:rPr>
      <w:rFonts w:ascii="Times New Roman" w:hAnsi="Times New Roman" w:eastAsia="宋体"/>
      <w:kern w:val="2"/>
      <w:sz w:val="21"/>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uiPriority w:val="0"/>
    <w:pPr>
      <w:tabs>
        <w:tab w:val="center" w:pos="4153"/>
        <w:tab w:val="right" w:pos="8306"/>
      </w:tabs>
      <w:snapToGrid w:val="0"/>
      <w:jc w:val="left"/>
    </w:pPr>
    <w:rPr>
      <w:sz w:val="18"/>
      <w:szCs w:val="18"/>
    </w:rPr>
  </w:style>
  <w:style w:type="character" w:customStyle="1" w:styleId="7">
    <w:name w:val="font21"/>
    <w:basedOn w:val="6"/>
    <w:qFormat/>
    <w:uiPriority w:val="0"/>
    <w:rPr>
      <w:rFonts w:hint="default" w:ascii="Arial" w:hAnsi="Arial" w:cs="Arial"/>
      <w:color w:val="000000"/>
      <w:sz w:val="24"/>
      <w:szCs w:val="24"/>
      <w:u w:val="none"/>
    </w:rPr>
  </w:style>
  <w:style w:type="character" w:customStyle="1" w:styleId="8">
    <w:name w:val="font91"/>
    <w:basedOn w:val="6"/>
    <w:qFormat/>
    <w:uiPriority w:val="0"/>
    <w:rPr>
      <w:rFonts w:hint="eastAsia"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2023-05-06T07:44:00Z</dcterms:created>
  <dc:creator>DELL</dc:creator>
  <cp:lastModifiedBy>DELL</cp:lastModifiedBy>
  <dcterms:modified xsi:type="dcterms:W3CDTF">2023-05-06T07:45:00Z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