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hint="eastAsia" w:ascii="方正小标宋简体" w:hAnsi="Arial" w:eastAsia="方正小标宋简体" w:cs="Arial"/>
          <w:bCs/>
          <w:kern w:val="0"/>
          <w:sz w:val="36"/>
          <w:szCs w:val="36"/>
        </w:rPr>
      </w:pPr>
      <w:r>
        <w:rPr>
          <w:rFonts w:hint="eastAsia" w:ascii="方正小标宋简体" w:hAnsi="Arial" w:eastAsia="方正小标宋简体" w:cs="Arial"/>
          <w:bCs/>
          <w:kern w:val="0"/>
          <w:sz w:val="36"/>
          <w:szCs w:val="36"/>
        </w:rPr>
        <w:t>陇川县住房和城乡规划建设局“三公”经费201</w:t>
      </w:r>
      <w:r>
        <w:rPr>
          <w:rFonts w:hint="eastAsia" w:ascii="方正小标宋简体" w:hAnsi="Arial" w:eastAsia="方正小标宋简体" w:cs="Arial"/>
          <w:bCs/>
          <w:kern w:val="0"/>
          <w:sz w:val="36"/>
          <w:szCs w:val="36"/>
          <w:lang w:val="en-US" w:eastAsia="zh-CN"/>
        </w:rPr>
        <w:t>8</w:t>
      </w:r>
      <w:r>
        <w:rPr>
          <w:rFonts w:hint="eastAsia" w:ascii="方正小标宋简体" w:hAnsi="Arial" w:eastAsia="方正小标宋简体" w:cs="Arial"/>
          <w:bCs/>
          <w:kern w:val="0"/>
          <w:sz w:val="36"/>
          <w:szCs w:val="36"/>
        </w:rPr>
        <w:t>年</w:t>
      </w:r>
    </w:p>
    <w:p>
      <w:pPr>
        <w:widowControl/>
        <w:spacing w:before="100" w:beforeAutospacing="1" w:after="100" w:afterAutospacing="1"/>
        <w:jc w:val="center"/>
        <w:outlineLvl w:val="2"/>
        <w:rPr>
          <w:rFonts w:hint="eastAsia" w:ascii="方正小标宋简体" w:hAnsi="Arial" w:eastAsia="方正小标宋简体" w:cs="Arial"/>
          <w:bCs/>
          <w:kern w:val="0"/>
          <w:sz w:val="36"/>
          <w:szCs w:val="36"/>
        </w:rPr>
      </w:pPr>
      <w:r>
        <w:rPr>
          <w:rFonts w:hint="eastAsia" w:ascii="方正小标宋简体" w:hAnsi="Arial" w:eastAsia="方正小标宋简体" w:cs="Arial"/>
          <w:bCs/>
          <w:kern w:val="0"/>
          <w:sz w:val="36"/>
          <w:szCs w:val="36"/>
        </w:rPr>
        <w:t>预算安排情况说明</w:t>
      </w:r>
    </w:p>
    <w:p>
      <w:pPr>
        <w:widowControl/>
        <w:ind w:firstLine="624"/>
        <w:rPr>
          <w:kern w:val="0"/>
          <w:szCs w:val="21"/>
        </w:rPr>
      </w:pPr>
      <w:r>
        <w:rPr>
          <w:rFonts w:hint="eastAsia" w:ascii="仿宋_GB2312" w:eastAsia="仿宋_GB2312"/>
          <w:spacing w:val="6"/>
          <w:kern w:val="0"/>
          <w:sz w:val="30"/>
          <w:szCs w:val="30"/>
        </w:rPr>
        <w:t>根据国务院关于推进政府预算信息公开的决策部署和省政府工作安排，陇川县住房和城乡规划建设局使用财政拨款安排“三公”经费201</w:t>
      </w:r>
      <w:r>
        <w:rPr>
          <w:rFonts w:hint="eastAsia" w:ascii="仿宋_GB2312" w:eastAsia="仿宋_GB2312"/>
          <w:spacing w:val="6"/>
          <w:kern w:val="0"/>
          <w:sz w:val="30"/>
          <w:szCs w:val="30"/>
          <w:lang w:val="en-US" w:eastAsia="zh-CN"/>
        </w:rPr>
        <w:t>8</w:t>
      </w:r>
      <w:r>
        <w:rPr>
          <w:rFonts w:hint="eastAsia" w:ascii="仿宋_GB2312" w:eastAsia="仿宋_GB2312"/>
          <w:spacing w:val="6"/>
          <w:kern w:val="0"/>
          <w:sz w:val="30"/>
          <w:szCs w:val="30"/>
        </w:rPr>
        <w:t>年预算安排情况如下：</w:t>
      </w:r>
    </w:p>
    <w:p>
      <w:pPr>
        <w:widowControl/>
        <w:jc w:val="center"/>
        <w:rPr>
          <w:rFonts w:hint="eastAsia" w:ascii="方正小标宋_GBK" w:eastAsia="方正小标宋_GBK"/>
          <w:b/>
          <w:bCs/>
          <w:color w:val="000000"/>
          <w:kern w:val="0"/>
          <w:sz w:val="30"/>
          <w:szCs w:val="30"/>
          <w:u w:val="single"/>
        </w:rPr>
      </w:pPr>
      <w:r>
        <w:rPr>
          <w:rFonts w:hint="eastAsia" w:ascii="方正小标宋_GBK" w:eastAsia="方正小标宋_GBK"/>
          <w:b/>
          <w:bCs/>
          <w:color w:val="000000"/>
          <w:kern w:val="0"/>
          <w:sz w:val="30"/>
          <w:szCs w:val="30"/>
        </w:rPr>
        <w:t>陇川县住房和城乡规划建设局</w:t>
      </w:r>
    </w:p>
    <w:p>
      <w:pPr>
        <w:widowControl/>
        <w:jc w:val="center"/>
        <w:rPr>
          <w:rFonts w:hint="eastAsia" w:ascii="方正小标宋_GBK" w:eastAsia="方正小标宋_GBK"/>
          <w:kern w:val="0"/>
          <w:szCs w:val="21"/>
        </w:rPr>
      </w:pPr>
      <w:r>
        <w:rPr>
          <w:rFonts w:hint="eastAsia" w:ascii="方正小标宋_GBK" w:eastAsia="方正小标宋_GBK"/>
          <w:b/>
          <w:bCs/>
          <w:color w:val="000000"/>
          <w:kern w:val="0"/>
          <w:sz w:val="30"/>
          <w:szCs w:val="30"/>
        </w:rPr>
        <w:t>2017年“三公”经费预算财政拨款情况统计表</w:t>
      </w:r>
    </w:p>
    <w:tbl>
      <w:tblPr>
        <w:tblStyle w:val="3"/>
        <w:tblW w:w="8820" w:type="dxa"/>
        <w:tblInd w:w="-72" w:type="dxa"/>
        <w:tblLayout w:type="fixed"/>
        <w:tblCellMar>
          <w:top w:w="0" w:type="dxa"/>
          <w:left w:w="0" w:type="dxa"/>
          <w:bottom w:w="0" w:type="dxa"/>
          <w:right w:w="0" w:type="dxa"/>
        </w:tblCellMar>
      </w:tblPr>
      <w:tblGrid>
        <w:gridCol w:w="3600"/>
        <w:gridCol w:w="1800"/>
        <w:gridCol w:w="1620"/>
        <w:gridCol w:w="1800"/>
      </w:tblGrid>
      <w:tr>
        <w:tblPrEx>
          <w:tblLayout w:type="fixed"/>
          <w:tblCellMar>
            <w:top w:w="0" w:type="dxa"/>
            <w:left w:w="0" w:type="dxa"/>
            <w:bottom w:w="0" w:type="dxa"/>
            <w:right w:w="0" w:type="dxa"/>
          </w:tblCellMar>
        </w:tblPrEx>
        <w:trPr>
          <w:trHeight w:val="510" w:hRule="atLeast"/>
        </w:trPr>
        <w:tc>
          <w:tcPr>
            <w:tcW w:w="3600" w:type="dxa"/>
            <w:tcMar>
              <w:top w:w="0" w:type="dxa"/>
              <w:left w:w="108" w:type="dxa"/>
              <w:bottom w:w="0" w:type="dxa"/>
              <w:right w:w="108" w:type="dxa"/>
            </w:tcMar>
            <w:vAlign w:val="bottom"/>
          </w:tcPr>
          <w:p>
            <w:pPr>
              <w:widowControl/>
              <w:jc w:val="left"/>
              <w:rPr>
                <w:rFonts w:ascii="Arial" w:hAnsi="Arial" w:cs="Arial"/>
                <w:kern w:val="0"/>
                <w:sz w:val="18"/>
                <w:szCs w:val="18"/>
              </w:rPr>
            </w:pPr>
          </w:p>
        </w:tc>
        <w:tc>
          <w:tcPr>
            <w:tcW w:w="5220" w:type="dxa"/>
            <w:gridSpan w:val="3"/>
            <w:tcMar>
              <w:top w:w="0" w:type="dxa"/>
              <w:left w:w="108" w:type="dxa"/>
              <w:bottom w:w="0" w:type="dxa"/>
              <w:right w:w="108" w:type="dxa"/>
            </w:tcMar>
            <w:vAlign w:val="center"/>
          </w:tcPr>
          <w:p>
            <w:pPr>
              <w:widowControl/>
              <w:jc w:val="right"/>
              <w:rPr>
                <w:kern w:val="0"/>
                <w:szCs w:val="21"/>
              </w:rPr>
            </w:pPr>
            <w:r>
              <w:rPr>
                <w:rFonts w:hint="eastAsia" w:ascii="宋体" w:hAnsi="宋体"/>
                <w:color w:val="000000"/>
                <w:kern w:val="0"/>
                <w:sz w:val="24"/>
              </w:rPr>
              <w:t>单位：万元</w:t>
            </w:r>
          </w:p>
        </w:tc>
      </w:tr>
      <w:tr>
        <w:tblPrEx>
          <w:tblLayout w:type="fixed"/>
          <w:tblCellMar>
            <w:top w:w="0" w:type="dxa"/>
            <w:left w:w="0" w:type="dxa"/>
            <w:bottom w:w="0" w:type="dxa"/>
            <w:right w:w="0" w:type="dxa"/>
          </w:tblCellMar>
        </w:tblPrEx>
        <w:trPr>
          <w:trHeight w:val="799" w:hRule="atLeast"/>
        </w:trPr>
        <w:tc>
          <w:tcPr>
            <w:tcW w:w="3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24"/>
              </w:rPr>
            </w:pPr>
            <w:r>
              <w:rPr>
                <w:rFonts w:hint="eastAsia" w:ascii="宋体" w:hAnsi="宋体"/>
                <w:color w:val="000000"/>
                <w:kern w:val="0"/>
                <w:sz w:val="24"/>
              </w:rPr>
              <w:t>项</w:t>
            </w:r>
            <w:r>
              <w:rPr>
                <w:color w:val="000000"/>
                <w:kern w:val="0"/>
                <w:sz w:val="24"/>
              </w:rPr>
              <w:t xml:space="preserve"> </w:t>
            </w:r>
            <w:r>
              <w:rPr>
                <w:rFonts w:hint="eastAsia" w:ascii="宋体" w:hAnsi="宋体"/>
                <w:color w:val="000000"/>
                <w:kern w:val="0"/>
                <w:sz w:val="24"/>
              </w:rPr>
              <w:t>目</w:t>
            </w:r>
          </w:p>
        </w:tc>
        <w:tc>
          <w:tcPr>
            <w:tcW w:w="18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jc w:val="center"/>
              <w:rPr>
                <w:kern w:val="0"/>
                <w:sz w:val="24"/>
              </w:rPr>
            </w:pPr>
            <w:r>
              <w:rPr>
                <w:rFonts w:hint="eastAsia" w:ascii="宋体" w:hAnsi="宋体"/>
                <w:color w:val="000000"/>
                <w:kern w:val="0"/>
                <w:sz w:val="24"/>
              </w:rPr>
              <w:t>本年预算数</w:t>
            </w:r>
          </w:p>
        </w:tc>
        <w:tc>
          <w:tcPr>
            <w:tcW w:w="1620" w:type="dxa"/>
            <w:tcBorders>
              <w:top w:val="single" w:color="auto" w:sz="8" w:space="0"/>
              <w:left w:val="single" w:color="auto" w:sz="4" w:space="0"/>
              <w:bottom w:val="single" w:color="auto" w:sz="8" w:space="0"/>
              <w:right w:val="single" w:color="auto" w:sz="4" w:space="0"/>
            </w:tcBorders>
            <w:vAlign w:val="center"/>
          </w:tcPr>
          <w:p>
            <w:pPr>
              <w:jc w:val="center"/>
              <w:rPr>
                <w:rFonts w:hint="eastAsia"/>
                <w:kern w:val="0"/>
                <w:sz w:val="24"/>
              </w:rPr>
            </w:pPr>
            <w:r>
              <w:rPr>
                <w:rFonts w:hint="eastAsia"/>
                <w:kern w:val="0"/>
                <w:sz w:val="24"/>
              </w:rPr>
              <w:t>上年预算数</w:t>
            </w:r>
          </w:p>
        </w:tc>
        <w:tc>
          <w:tcPr>
            <w:tcW w:w="1800" w:type="dxa"/>
            <w:tcBorders>
              <w:top w:val="single" w:color="auto" w:sz="8" w:space="0"/>
              <w:left w:val="single" w:color="auto" w:sz="4" w:space="0"/>
              <w:bottom w:val="single" w:color="auto" w:sz="8" w:space="0"/>
              <w:right w:val="single" w:color="auto" w:sz="8" w:space="0"/>
            </w:tcBorders>
            <w:vAlign w:val="center"/>
          </w:tcPr>
          <w:p>
            <w:pPr>
              <w:jc w:val="center"/>
              <w:rPr>
                <w:rFonts w:hint="eastAsia"/>
                <w:kern w:val="0"/>
                <w:sz w:val="24"/>
              </w:rPr>
            </w:pPr>
            <w:r>
              <w:rPr>
                <w:rFonts w:hint="eastAsia"/>
                <w:kern w:val="0"/>
                <w:sz w:val="24"/>
              </w:rPr>
              <w:t>同比增（减）﹪</w:t>
            </w: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24"/>
              </w:rPr>
            </w:pPr>
            <w:r>
              <w:rPr>
                <w:rFonts w:hint="eastAsia" w:ascii="宋体" w:hAnsi="宋体"/>
                <w:color w:val="000000"/>
                <w:kern w:val="0"/>
                <w:sz w:val="24"/>
              </w:rPr>
              <w:t>合</w:t>
            </w:r>
            <w:r>
              <w:rPr>
                <w:color w:val="000000"/>
                <w:kern w:val="0"/>
                <w:sz w:val="24"/>
              </w:rPr>
              <w:t xml:space="preserve"> </w:t>
            </w:r>
            <w:r>
              <w:rPr>
                <w:rFonts w:hint="eastAsia" w:ascii="宋体" w:hAnsi="宋体"/>
                <w:color w:val="000000"/>
                <w:kern w:val="0"/>
                <w:sz w:val="24"/>
              </w:rPr>
              <w:t>计</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kern w:val="0"/>
                <w:sz w:val="24"/>
              </w:rPr>
            </w:pPr>
            <w:r>
              <w:rPr>
                <w:rFonts w:hint="eastAsia"/>
                <w:kern w:val="0"/>
                <w:sz w:val="24"/>
              </w:rPr>
              <w:t>2</w:t>
            </w:r>
            <w:r>
              <w:rPr>
                <w:rFonts w:hint="eastAsia"/>
                <w:kern w:val="0"/>
                <w:sz w:val="24"/>
                <w:lang w:val="en-US" w:eastAsia="zh-CN"/>
              </w:rPr>
              <w:t>3</w:t>
            </w:r>
          </w:p>
        </w:tc>
        <w:tc>
          <w:tcPr>
            <w:tcW w:w="1620" w:type="dxa"/>
            <w:tcBorders>
              <w:top w:val="nil"/>
              <w:left w:val="single" w:color="auto" w:sz="4" w:space="0"/>
              <w:bottom w:val="single" w:color="auto" w:sz="8" w:space="0"/>
              <w:right w:val="single" w:color="auto" w:sz="4" w:space="0"/>
            </w:tcBorders>
            <w:vAlign w:val="center"/>
          </w:tcPr>
          <w:p>
            <w:pPr>
              <w:widowControl/>
              <w:jc w:val="center"/>
              <w:rPr>
                <w:rFonts w:hint="eastAsia"/>
                <w:kern w:val="0"/>
                <w:sz w:val="24"/>
              </w:rPr>
            </w:pPr>
            <w:r>
              <w:rPr>
                <w:rFonts w:hint="eastAsia"/>
                <w:kern w:val="0"/>
                <w:sz w:val="24"/>
              </w:rPr>
              <w:t>25</w:t>
            </w:r>
          </w:p>
        </w:tc>
        <w:tc>
          <w:tcPr>
            <w:tcW w:w="1800" w:type="dxa"/>
            <w:tcBorders>
              <w:top w:val="nil"/>
              <w:left w:val="single" w:color="auto" w:sz="4" w:space="0"/>
              <w:bottom w:val="single" w:color="auto" w:sz="8" w:space="0"/>
              <w:right w:val="single" w:color="auto" w:sz="8" w:space="0"/>
            </w:tcBorders>
            <w:vAlign w:val="center"/>
          </w:tcPr>
          <w:p>
            <w:pPr>
              <w:widowControl/>
              <w:jc w:val="center"/>
              <w:rPr>
                <w:rFonts w:hint="eastAsia" w:eastAsia="宋体"/>
                <w:kern w:val="0"/>
                <w:sz w:val="24"/>
                <w:lang w:val="en-US" w:eastAsia="zh-CN"/>
              </w:rPr>
            </w:pPr>
            <w:r>
              <w:rPr>
                <w:rFonts w:hint="eastAsia"/>
                <w:kern w:val="0"/>
                <w:sz w:val="24"/>
                <w:lang w:val="en-US" w:eastAsia="zh-CN"/>
              </w:rPr>
              <w:t>-8%</w:t>
            </w: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kern w:val="0"/>
                <w:sz w:val="24"/>
              </w:rPr>
            </w:pPr>
            <w:r>
              <w:rPr>
                <w:color w:val="000000"/>
                <w:kern w:val="0"/>
                <w:sz w:val="24"/>
              </w:rPr>
              <w:t>1</w:t>
            </w:r>
            <w:r>
              <w:rPr>
                <w:rFonts w:hint="eastAsia" w:ascii="宋体" w:hAnsi="宋体"/>
                <w:color w:val="000000"/>
                <w:kern w:val="0"/>
                <w:sz w:val="24"/>
              </w:rPr>
              <w:t>、因公出国（境）费</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kern w:val="0"/>
                <w:sz w:val="24"/>
              </w:rPr>
            </w:pPr>
          </w:p>
        </w:tc>
        <w:tc>
          <w:tcPr>
            <w:tcW w:w="1620" w:type="dxa"/>
            <w:tcBorders>
              <w:top w:val="nil"/>
              <w:left w:val="single" w:color="auto" w:sz="4" w:space="0"/>
              <w:bottom w:val="single" w:color="auto" w:sz="8" w:space="0"/>
              <w:right w:val="single" w:color="auto" w:sz="4" w:space="0"/>
            </w:tcBorders>
            <w:vAlign w:val="center"/>
          </w:tcPr>
          <w:p>
            <w:pPr>
              <w:widowControl/>
              <w:jc w:val="center"/>
              <w:rPr>
                <w:kern w:val="0"/>
                <w:sz w:val="24"/>
              </w:rPr>
            </w:pPr>
          </w:p>
        </w:tc>
        <w:tc>
          <w:tcPr>
            <w:tcW w:w="1800" w:type="dxa"/>
            <w:tcBorders>
              <w:top w:val="nil"/>
              <w:left w:val="single" w:color="auto" w:sz="4" w:space="0"/>
              <w:bottom w:val="single" w:color="auto" w:sz="8" w:space="0"/>
              <w:right w:val="single" w:color="auto" w:sz="8" w:space="0"/>
            </w:tcBorders>
            <w:vAlign w:val="center"/>
          </w:tcPr>
          <w:p>
            <w:pPr>
              <w:widowControl/>
              <w:jc w:val="center"/>
              <w:rPr>
                <w:kern w:val="0"/>
                <w:sz w:val="24"/>
              </w:rPr>
            </w:pP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kern w:val="0"/>
                <w:sz w:val="24"/>
              </w:rPr>
            </w:pPr>
            <w:r>
              <w:rPr>
                <w:color w:val="000000"/>
                <w:kern w:val="0"/>
                <w:sz w:val="24"/>
              </w:rPr>
              <w:t>2</w:t>
            </w:r>
            <w:r>
              <w:rPr>
                <w:rFonts w:hint="eastAsia" w:ascii="宋体" w:hAnsi="宋体"/>
                <w:color w:val="000000"/>
                <w:kern w:val="0"/>
                <w:sz w:val="24"/>
              </w:rPr>
              <w:t>、公务接待费</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kern w:val="0"/>
                <w:sz w:val="24"/>
              </w:rPr>
            </w:pPr>
            <w:r>
              <w:rPr>
                <w:rFonts w:hint="eastAsia"/>
                <w:kern w:val="0"/>
                <w:sz w:val="24"/>
              </w:rPr>
              <w:t>15</w:t>
            </w:r>
          </w:p>
        </w:tc>
        <w:tc>
          <w:tcPr>
            <w:tcW w:w="1620" w:type="dxa"/>
            <w:tcBorders>
              <w:top w:val="nil"/>
              <w:left w:val="single" w:color="auto" w:sz="4" w:space="0"/>
              <w:bottom w:val="single" w:color="auto" w:sz="8" w:space="0"/>
              <w:right w:val="single" w:color="auto" w:sz="4" w:space="0"/>
            </w:tcBorders>
            <w:vAlign w:val="center"/>
          </w:tcPr>
          <w:p>
            <w:pPr>
              <w:widowControl/>
              <w:jc w:val="center"/>
              <w:rPr>
                <w:rFonts w:hint="eastAsia"/>
                <w:kern w:val="0"/>
                <w:sz w:val="24"/>
              </w:rPr>
            </w:pPr>
            <w:r>
              <w:rPr>
                <w:rFonts w:hint="eastAsia"/>
                <w:kern w:val="0"/>
                <w:sz w:val="24"/>
              </w:rPr>
              <w:t>15</w:t>
            </w:r>
          </w:p>
        </w:tc>
        <w:tc>
          <w:tcPr>
            <w:tcW w:w="1800" w:type="dxa"/>
            <w:tcBorders>
              <w:top w:val="nil"/>
              <w:left w:val="single" w:color="auto" w:sz="4" w:space="0"/>
              <w:bottom w:val="single" w:color="auto" w:sz="8" w:space="0"/>
              <w:right w:val="single" w:color="auto" w:sz="8" w:space="0"/>
            </w:tcBorders>
            <w:vAlign w:val="center"/>
          </w:tcPr>
          <w:p>
            <w:pPr>
              <w:widowControl/>
              <w:jc w:val="center"/>
              <w:rPr>
                <w:rFonts w:hint="eastAsia"/>
                <w:kern w:val="0"/>
                <w:sz w:val="24"/>
              </w:rPr>
            </w:pP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kern w:val="0"/>
                <w:sz w:val="24"/>
              </w:rPr>
            </w:pPr>
            <w:r>
              <w:rPr>
                <w:color w:val="000000"/>
                <w:kern w:val="0"/>
                <w:sz w:val="24"/>
              </w:rPr>
              <w:t>3</w:t>
            </w:r>
            <w:r>
              <w:rPr>
                <w:rFonts w:hint="eastAsia" w:ascii="宋体" w:hAnsi="宋体"/>
                <w:color w:val="000000"/>
                <w:kern w:val="0"/>
                <w:sz w:val="24"/>
              </w:rPr>
              <w:t>、公务用车费</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kern w:val="0"/>
                <w:sz w:val="24"/>
              </w:rPr>
            </w:pPr>
          </w:p>
        </w:tc>
        <w:tc>
          <w:tcPr>
            <w:tcW w:w="1620" w:type="dxa"/>
            <w:tcBorders>
              <w:top w:val="nil"/>
              <w:left w:val="single" w:color="auto" w:sz="4" w:space="0"/>
              <w:bottom w:val="single" w:color="auto" w:sz="8" w:space="0"/>
              <w:right w:val="single" w:color="auto" w:sz="4" w:space="0"/>
            </w:tcBorders>
            <w:vAlign w:val="center"/>
          </w:tcPr>
          <w:p>
            <w:pPr>
              <w:widowControl/>
              <w:jc w:val="center"/>
              <w:rPr>
                <w:rFonts w:hint="eastAsia"/>
                <w:kern w:val="0"/>
                <w:sz w:val="24"/>
              </w:rPr>
            </w:pPr>
          </w:p>
        </w:tc>
        <w:tc>
          <w:tcPr>
            <w:tcW w:w="1800" w:type="dxa"/>
            <w:tcBorders>
              <w:top w:val="nil"/>
              <w:left w:val="single" w:color="auto" w:sz="4" w:space="0"/>
              <w:bottom w:val="single" w:color="auto" w:sz="8" w:space="0"/>
              <w:right w:val="single" w:color="auto" w:sz="8" w:space="0"/>
            </w:tcBorders>
            <w:vAlign w:val="center"/>
          </w:tcPr>
          <w:p>
            <w:pPr>
              <w:widowControl/>
              <w:jc w:val="center"/>
              <w:rPr>
                <w:rFonts w:hint="eastAsia"/>
                <w:kern w:val="0"/>
                <w:sz w:val="24"/>
              </w:rPr>
            </w:pP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24"/>
              </w:rPr>
            </w:pPr>
            <w:r>
              <w:rPr>
                <w:rFonts w:hint="eastAsia" w:ascii="宋体" w:hAnsi="宋体"/>
                <w:color w:val="000000"/>
                <w:kern w:val="0"/>
                <w:sz w:val="24"/>
              </w:rPr>
              <w:t>其中：（</w:t>
            </w:r>
            <w:r>
              <w:rPr>
                <w:color w:val="000000"/>
                <w:kern w:val="0"/>
                <w:sz w:val="24"/>
              </w:rPr>
              <w:t>1</w:t>
            </w:r>
            <w:r>
              <w:rPr>
                <w:rFonts w:hint="eastAsia" w:ascii="宋体" w:hAnsi="宋体"/>
                <w:color w:val="000000"/>
                <w:kern w:val="0"/>
                <w:sz w:val="24"/>
              </w:rPr>
              <w:t>）公务用车运行维护费</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eastAsia="宋体"/>
                <w:kern w:val="0"/>
                <w:sz w:val="24"/>
                <w:lang w:eastAsia="zh-CN"/>
              </w:rPr>
            </w:pPr>
            <w:r>
              <w:rPr>
                <w:rFonts w:hint="eastAsia"/>
                <w:kern w:val="0"/>
                <w:sz w:val="24"/>
                <w:lang w:val="en-US" w:eastAsia="zh-CN"/>
              </w:rPr>
              <w:t>8</w:t>
            </w:r>
          </w:p>
        </w:tc>
        <w:tc>
          <w:tcPr>
            <w:tcW w:w="1620" w:type="dxa"/>
            <w:tcBorders>
              <w:top w:val="nil"/>
              <w:left w:val="single" w:color="auto" w:sz="4" w:space="0"/>
              <w:bottom w:val="single" w:color="auto" w:sz="8" w:space="0"/>
              <w:right w:val="single" w:color="auto" w:sz="4" w:space="0"/>
            </w:tcBorders>
            <w:vAlign w:val="center"/>
          </w:tcPr>
          <w:p>
            <w:pPr>
              <w:widowControl/>
              <w:jc w:val="center"/>
              <w:rPr>
                <w:rFonts w:hint="eastAsia"/>
                <w:kern w:val="0"/>
                <w:sz w:val="24"/>
              </w:rPr>
            </w:pPr>
            <w:r>
              <w:rPr>
                <w:rFonts w:hint="eastAsia"/>
                <w:kern w:val="0"/>
                <w:sz w:val="24"/>
              </w:rPr>
              <w:t>10</w:t>
            </w:r>
          </w:p>
        </w:tc>
        <w:tc>
          <w:tcPr>
            <w:tcW w:w="1800" w:type="dxa"/>
            <w:tcBorders>
              <w:top w:val="nil"/>
              <w:left w:val="single" w:color="auto" w:sz="4" w:space="0"/>
              <w:bottom w:val="single" w:color="auto" w:sz="8" w:space="0"/>
              <w:right w:val="single" w:color="auto" w:sz="8" w:space="0"/>
            </w:tcBorders>
            <w:vAlign w:val="center"/>
          </w:tcPr>
          <w:p>
            <w:pPr>
              <w:widowControl/>
              <w:jc w:val="center"/>
              <w:rPr>
                <w:rFonts w:hint="eastAsia" w:eastAsia="宋体"/>
                <w:kern w:val="0"/>
                <w:sz w:val="24"/>
                <w:lang w:val="en-US" w:eastAsia="zh-CN"/>
              </w:rPr>
            </w:pPr>
            <w:r>
              <w:rPr>
                <w:rFonts w:hint="eastAsia"/>
                <w:kern w:val="0"/>
                <w:sz w:val="24"/>
                <w:lang w:val="en-US" w:eastAsia="zh-CN"/>
              </w:rPr>
              <w:t>-20%</w:t>
            </w:r>
          </w:p>
        </w:tc>
      </w:tr>
      <w:tr>
        <w:tblPrEx>
          <w:tblLayout w:type="fixed"/>
          <w:tblCellMar>
            <w:top w:w="0" w:type="dxa"/>
            <w:left w:w="0" w:type="dxa"/>
            <w:bottom w:w="0" w:type="dxa"/>
            <w:right w:w="0" w:type="dxa"/>
          </w:tblCellMar>
        </w:tblPrEx>
        <w:trPr>
          <w:trHeight w:val="799" w:hRule="atLeast"/>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24"/>
              </w:rPr>
            </w:pPr>
            <w:r>
              <w:rPr>
                <w:rFonts w:hint="eastAsia" w:ascii="宋体" w:hAnsi="宋体"/>
                <w:color w:val="000000"/>
                <w:kern w:val="0"/>
                <w:sz w:val="24"/>
              </w:rPr>
              <w:t>（</w:t>
            </w:r>
            <w:r>
              <w:rPr>
                <w:color w:val="000000"/>
                <w:kern w:val="0"/>
                <w:sz w:val="24"/>
              </w:rPr>
              <w:t>2</w:t>
            </w:r>
            <w:r>
              <w:rPr>
                <w:rFonts w:hint="eastAsia" w:ascii="宋体" w:hAnsi="宋体"/>
                <w:color w:val="000000"/>
                <w:kern w:val="0"/>
                <w:sz w:val="24"/>
              </w:rPr>
              <w:t>）公务用车购置</w:t>
            </w:r>
          </w:p>
        </w:tc>
        <w:tc>
          <w:tcPr>
            <w:tcW w:w="18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kern w:val="0"/>
                <w:sz w:val="24"/>
              </w:rPr>
            </w:pPr>
          </w:p>
        </w:tc>
        <w:tc>
          <w:tcPr>
            <w:tcW w:w="1620" w:type="dxa"/>
            <w:tcBorders>
              <w:top w:val="nil"/>
              <w:left w:val="single" w:color="auto" w:sz="4" w:space="0"/>
              <w:bottom w:val="single" w:color="auto" w:sz="8" w:space="0"/>
              <w:right w:val="single" w:color="auto" w:sz="4" w:space="0"/>
            </w:tcBorders>
            <w:vAlign w:val="center"/>
          </w:tcPr>
          <w:p>
            <w:pPr>
              <w:widowControl/>
              <w:jc w:val="center"/>
              <w:rPr>
                <w:rFonts w:hint="eastAsia"/>
                <w:kern w:val="0"/>
                <w:sz w:val="24"/>
              </w:rPr>
            </w:pPr>
          </w:p>
        </w:tc>
        <w:tc>
          <w:tcPr>
            <w:tcW w:w="1800" w:type="dxa"/>
            <w:tcBorders>
              <w:top w:val="nil"/>
              <w:left w:val="single" w:color="auto" w:sz="4" w:space="0"/>
              <w:bottom w:val="single" w:color="auto" w:sz="8" w:space="0"/>
              <w:right w:val="single" w:color="auto" w:sz="8" w:space="0"/>
            </w:tcBorders>
            <w:vAlign w:val="center"/>
          </w:tcPr>
          <w:p>
            <w:pPr>
              <w:widowControl/>
              <w:jc w:val="center"/>
              <w:rPr>
                <w:rFonts w:hint="eastAsia"/>
                <w:kern w:val="0"/>
                <w:sz w:val="24"/>
              </w:rPr>
            </w:pPr>
          </w:p>
        </w:tc>
      </w:tr>
    </w:tbl>
    <w:p>
      <w:pPr>
        <w:ind w:firstLine="600" w:firstLineChars="200"/>
        <w:rPr>
          <w:rFonts w:hint="eastAsia" w:ascii="仿宋_GB2312" w:hAnsi="宋体" w:eastAsia="仿宋_GB2312" w:cs="宋体"/>
          <w:color w:val="333333"/>
          <w:kern w:val="0"/>
          <w:sz w:val="30"/>
          <w:szCs w:val="30"/>
        </w:rPr>
      </w:pPr>
      <w:r>
        <w:rPr>
          <w:rFonts w:hint="eastAsia" w:ascii="仿宋_GB2312" w:hAnsi="仿宋_GB2312" w:eastAsia="仿宋_GB2312" w:cs="仿宋_GB2312"/>
          <w:b w:val="0"/>
          <w:bCs/>
          <w:kern w:val="0"/>
          <w:sz w:val="30"/>
          <w:szCs w:val="30"/>
          <w:lang w:val="en-US" w:eastAsia="zh-CN"/>
        </w:rPr>
        <w:t>2018年</w:t>
      </w:r>
      <w:r>
        <w:rPr>
          <w:rFonts w:hint="eastAsia" w:ascii="仿宋_GB2312" w:hAnsi="仿宋_GB2312" w:eastAsia="仿宋_GB2312" w:cs="仿宋_GB2312"/>
          <w:b w:val="0"/>
          <w:bCs/>
          <w:kern w:val="0"/>
          <w:sz w:val="30"/>
          <w:szCs w:val="30"/>
        </w:rPr>
        <w:t>公务接待费本年年初预算数与上年年初预算数</w:t>
      </w:r>
      <w:r>
        <w:rPr>
          <w:rFonts w:hint="eastAsia" w:ascii="仿宋_GB2312" w:hAnsi="仿宋_GB2312" w:eastAsia="仿宋_GB2312" w:cs="仿宋_GB2312"/>
          <w:b w:val="0"/>
          <w:bCs/>
          <w:kern w:val="0"/>
          <w:sz w:val="30"/>
          <w:szCs w:val="30"/>
          <w:lang w:eastAsia="zh-CN"/>
        </w:rPr>
        <w:t>持平</w:t>
      </w:r>
      <w:r>
        <w:rPr>
          <w:rFonts w:hint="eastAsia" w:ascii="仿宋_GB2312" w:hAnsi="仿宋_GB2312" w:eastAsia="仿宋_GB2312" w:cs="仿宋_GB2312"/>
          <w:b w:val="0"/>
          <w:bCs/>
          <w:kern w:val="0"/>
          <w:sz w:val="30"/>
          <w:szCs w:val="30"/>
        </w:rPr>
        <w:t>，公务用车运行费较上年年初预算数减少20%，是由于我单位将环卫站清洁卫生车辆的车辆运行维护费科目调整到其他交通费上，因此公务用车运行费较上年会明显减少。</w:t>
      </w:r>
      <w:r>
        <w:rPr>
          <w:rFonts w:hint="eastAsia" w:ascii="方正小标宋简体" w:hAnsi="Arial" w:eastAsia="方正小标宋简体" w:cs="Arial"/>
          <w:bCs/>
          <w:kern w:val="0"/>
          <w:sz w:val="36"/>
          <w:szCs w:val="36"/>
        </w:rPr>
        <w:t> </w:t>
      </w:r>
      <w:r>
        <w:rPr>
          <w:rFonts w:hint="eastAsia" w:ascii="仿宋_GB2312" w:hAnsi="仿宋_GB2312" w:eastAsia="仿宋_GB2312" w:cs="仿宋_GB2312"/>
          <w:color w:val="333333"/>
          <w:kern w:val="0"/>
          <w:sz w:val="30"/>
          <w:szCs w:val="30"/>
        </w:rPr>
        <w:t>上年实有车辆</w:t>
      </w:r>
      <w:r>
        <w:rPr>
          <w:rFonts w:hint="eastAsia" w:ascii="仿宋_GB2312" w:hAnsi="仿宋_GB2312" w:eastAsia="仿宋_GB2312" w:cs="仿宋_GB2312"/>
          <w:color w:val="333333"/>
          <w:kern w:val="0"/>
          <w:sz w:val="30"/>
          <w:szCs w:val="30"/>
          <w:lang w:val="en-US" w:eastAsia="zh-CN"/>
        </w:rPr>
        <w:t>21</w:t>
      </w:r>
      <w:r>
        <w:rPr>
          <w:rFonts w:hint="eastAsia" w:ascii="仿宋_GB2312" w:hAnsi="仿宋_GB2312" w:eastAsia="仿宋_GB2312" w:cs="仿宋_GB2312"/>
          <w:color w:val="333333"/>
          <w:kern w:val="0"/>
          <w:sz w:val="30"/>
          <w:szCs w:val="30"/>
        </w:rPr>
        <w:t>辆，201</w:t>
      </w:r>
      <w:r>
        <w:rPr>
          <w:rFonts w:hint="eastAsia" w:ascii="仿宋_GB2312" w:hAnsi="仿宋_GB2312" w:eastAsia="仿宋_GB2312" w:cs="仿宋_GB2312"/>
          <w:color w:val="333333"/>
          <w:kern w:val="0"/>
          <w:sz w:val="30"/>
          <w:szCs w:val="30"/>
          <w:lang w:val="en-US" w:eastAsia="zh-CN"/>
        </w:rPr>
        <w:t>8</w:t>
      </w:r>
      <w:r>
        <w:rPr>
          <w:rFonts w:hint="eastAsia" w:ascii="仿宋_GB2312" w:hAnsi="仿宋_GB2312" w:eastAsia="仿宋_GB2312" w:cs="仿宋_GB2312"/>
          <w:color w:val="333333"/>
          <w:kern w:val="0"/>
          <w:sz w:val="30"/>
          <w:szCs w:val="30"/>
        </w:rPr>
        <w:t>年实有车辆</w:t>
      </w:r>
      <w:r>
        <w:rPr>
          <w:rFonts w:hint="eastAsia" w:ascii="仿宋_GB2312" w:hAnsi="仿宋_GB2312" w:eastAsia="仿宋_GB2312" w:cs="仿宋_GB2312"/>
          <w:color w:val="333333"/>
          <w:kern w:val="0"/>
          <w:sz w:val="30"/>
        </w:rPr>
        <w:t> </w:t>
      </w:r>
      <w:r>
        <w:rPr>
          <w:rFonts w:hint="eastAsia" w:ascii="仿宋_GB2312" w:hAnsi="仿宋_GB2312" w:eastAsia="仿宋_GB2312" w:cs="仿宋_GB2312"/>
          <w:color w:val="333333"/>
          <w:kern w:val="0"/>
          <w:sz w:val="30"/>
          <w:szCs w:val="30"/>
          <w:lang w:val="en-US" w:eastAsia="zh-CN"/>
        </w:rPr>
        <w:t>37</w:t>
      </w:r>
      <w:r>
        <w:rPr>
          <w:rFonts w:hint="eastAsia" w:ascii="仿宋_GB2312" w:hAnsi="仿宋_GB2312" w:eastAsia="仿宋_GB2312" w:cs="仿宋_GB2312"/>
          <w:color w:val="333333"/>
          <w:kern w:val="0"/>
          <w:sz w:val="30"/>
          <w:szCs w:val="30"/>
        </w:rPr>
        <w:t>辆，与上年相比增加</w:t>
      </w:r>
      <w:r>
        <w:rPr>
          <w:rFonts w:hint="eastAsia" w:ascii="仿宋_GB2312" w:hAnsi="仿宋_GB2312" w:eastAsia="仿宋_GB2312" w:cs="仿宋_GB2312"/>
          <w:color w:val="333333"/>
          <w:kern w:val="0"/>
          <w:sz w:val="30"/>
          <w:szCs w:val="30"/>
          <w:lang w:val="en-US" w:eastAsia="zh-CN"/>
        </w:rPr>
        <w:t>76.19</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eastAsia="zh-CN"/>
        </w:rPr>
        <w:t>是由于</w:t>
      </w:r>
      <w:r>
        <w:rPr>
          <w:rFonts w:hint="eastAsia" w:ascii="仿宋" w:hAnsi="仿宋" w:eastAsia="仿宋"/>
          <w:sz w:val="32"/>
          <w:szCs w:val="32"/>
        </w:rPr>
        <w:t>陇川县垃圾收运系统项目中我局环卫站向昆明市五华区信诚环卫设备经营部购进（1.8吨垃圾压缩车徐工牌XZJ5160ZYSD5  2辆；2. 8吨洒水车徐工牌XZJ5161GPSD5  1辆；3。勾臂式垃圾车徐工牌XZJ5020ZXXA5  3辆；</w:t>
      </w:r>
      <w:r>
        <w:rPr>
          <w:rFonts w:hint="eastAsia" w:ascii="仿宋" w:hAnsi="仿宋" w:eastAsia="仿宋"/>
          <w:sz w:val="32"/>
          <w:szCs w:val="32"/>
          <w:lang w:val="en-US" w:eastAsia="zh-CN"/>
        </w:rPr>
        <w:t>4、</w:t>
      </w:r>
      <w:r>
        <w:rPr>
          <w:rFonts w:hint="eastAsia" w:ascii="仿宋" w:hAnsi="仿宋" w:eastAsia="仿宋"/>
          <w:sz w:val="32"/>
          <w:szCs w:val="32"/>
        </w:rPr>
        <w:t xml:space="preserve">车厢可卸式垃圾车 程力威牌CLW5020ZXXB4  </w:t>
      </w:r>
      <w:r>
        <w:rPr>
          <w:rFonts w:hint="eastAsia" w:ascii="仿宋" w:hAnsi="仿宋" w:eastAsia="仿宋"/>
          <w:sz w:val="32"/>
          <w:szCs w:val="32"/>
          <w:lang w:val="en-US" w:eastAsia="zh-CN"/>
        </w:rPr>
        <w:t>3</w:t>
      </w:r>
      <w:r>
        <w:rPr>
          <w:rFonts w:hint="eastAsia" w:ascii="仿宋" w:hAnsi="仿宋" w:eastAsia="仿宋"/>
          <w:sz w:val="32"/>
          <w:szCs w:val="32"/>
        </w:rPr>
        <w:t>辆</w:t>
      </w: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rPr>
        <w:t>三轮收集车信诚牌DSg-MQ  7辆）。</w:t>
      </w:r>
      <w:r>
        <w:rPr>
          <w:rFonts w:hint="eastAsia" w:ascii="仿宋" w:hAnsi="仿宋" w:eastAsia="仿宋"/>
          <w:sz w:val="32"/>
          <w:szCs w:val="32"/>
          <w:lang w:eastAsia="zh-CN"/>
        </w:rPr>
        <w:t>我局</w:t>
      </w:r>
      <w:r>
        <w:rPr>
          <w:rFonts w:hint="eastAsia" w:ascii="宋体" w:hAnsi="宋体" w:eastAsia="宋体" w:cs="宋体"/>
          <w:color w:val="333333"/>
          <w:kern w:val="0"/>
          <w:sz w:val="30"/>
          <w:szCs w:val="30"/>
        </w:rPr>
        <w:t>严格按照</w:t>
      </w:r>
      <w:r>
        <w:rPr>
          <w:rFonts w:hint="eastAsia" w:ascii="仿宋_GB2312" w:hAnsi="宋体" w:eastAsia="仿宋_GB2312" w:cs="宋体"/>
          <w:color w:val="333333"/>
          <w:kern w:val="0"/>
          <w:sz w:val="30"/>
          <w:szCs w:val="30"/>
        </w:rPr>
        <w:t>党中央、国务院有关文件及部门预算管理有关规定，厉行节约。</w:t>
      </w:r>
    </w:p>
    <w:p>
      <w:pPr>
        <w:widowControl/>
        <w:ind w:firstLine="480"/>
        <w:jc w:val="left"/>
        <w:rPr>
          <w:rFonts w:hint="eastAsia" w:ascii="宋体" w:hAnsi="宋体" w:eastAsia="宋体" w:cs="宋体"/>
          <w:color w:val="333333"/>
          <w:kern w:val="0"/>
          <w:sz w:val="22"/>
        </w:rPr>
      </w:pPr>
      <w:r>
        <w:rPr>
          <w:rFonts w:hint="eastAsia" w:ascii="黑体" w:hAnsi="黑体" w:eastAsia="黑体" w:cs="宋体"/>
          <w:color w:val="333333"/>
          <w:kern w:val="0"/>
          <w:sz w:val="30"/>
          <w:szCs w:val="30"/>
        </w:rPr>
        <w:t>备注：</w:t>
      </w:r>
      <w:r>
        <w:rPr>
          <w:rFonts w:hint="eastAsia" w:ascii="仿宋_GB2312" w:hAnsi="宋体" w:eastAsia="仿宋_GB2312" w:cs="宋体"/>
          <w:color w:val="333333"/>
          <w:kern w:val="0"/>
          <w:sz w:val="30"/>
          <w:szCs w:val="30"/>
        </w:rPr>
        <w:t>按照党中央、国务院有关文件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公务接待费，指单位按规定开支的各类公务接待（含外宾接待）支出。</w:t>
      </w:r>
    </w:p>
    <w:p>
      <w:pPr>
        <w:ind w:firstLine="600" w:firstLineChars="200"/>
        <w:rPr>
          <w:rFonts w:hint="eastAsia" w:ascii="仿宋_GB2312" w:hAnsi="宋体" w:eastAsia="仿宋_GB2312" w:cs="宋体"/>
          <w:color w:val="333333"/>
          <w:kern w:val="0"/>
          <w:sz w:val="30"/>
          <w:szCs w:val="30"/>
        </w:rPr>
      </w:pPr>
      <w:bookmarkStart w:id="0" w:name="_GoBack"/>
      <w:bookmarkEnd w:id="0"/>
    </w:p>
    <w:p>
      <w:pPr>
        <w:widowControl/>
        <w:spacing w:before="100" w:beforeAutospacing="1" w:after="100" w:afterAutospacing="1"/>
        <w:ind w:firstLine="720" w:firstLineChars="200"/>
        <w:jc w:val="both"/>
        <w:outlineLvl w:val="2"/>
        <w:rPr>
          <w:rFonts w:hint="eastAsia" w:ascii="方正小标宋简体" w:hAnsi="Arial" w:eastAsia="方正小标宋简体" w:cs="Arial"/>
          <w:bCs/>
          <w:kern w:val="0"/>
          <w:sz w:val="36"/>
          <w:szCs w:val="36"/>
        </w:rPr>
      </w:pPr>
    </w:p>
    <w:p>
      <w:pPr>
        <w:widowControl/>
        <w:jc w:val="left"/>
        <w:rPr>
          <w:rFonts w:hint="eastAsia" w:ascii="Arial" w:hAnsi="Arial" w:cs="Arial"/>
          <w:kern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37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hy</cp:lastModifiedBy>
  <dcterms:modified xsi:type="dcterms:W3CDTF">2018-02-08T08:27:43Z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