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陇川县退役军人事务局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2-4-1部门预决算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" w:eastAsia="zh-CN"/>
              </w:rPr>
              <w:t>部门年度预算、决算及“三公”经费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德宏州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DBD5AAD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BA448E9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D7FD5210"/>
    <w:rsid w:val="E76F3B1C"/>
    <w:rsid w:val="F4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2022-10-20T16:58:00Z</dcterms:created>
  <dc:creator>admin</dc:creator>
  <cp:lastModifiedBy>Administrator</cp:lastModifiedBy>
  <cp:lastPrinted>2022-10-21T09:25:00Z</cp:lastPrinted>
  <dcterms:modified xsi:type="dcterms:W3CDTF">2022-11-02T07:44:38Z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