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陇川县市场监督管理局2024年</w:t>
      </w: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法治政府建设情况报告</w:t>
      </w:r>
    </w:p>
    <w:p>
      <w:pPr>
        <w:keepNext w:val="0"/>
        <w:keepLines w:val="0"/>
        <w:pageBreakBefore w:val="0"/>
        <w:widowControl w:val="0"/>
        <w:kinsoku/>
        <w:wordWrap/>
        <w:overflowPunct/>
        <w:topLinePunct w:val="0"/>
        <w:autoSpaceDE/>
        <w:autoSpaceDN/>
        <w:bidi w:val="0"/>
        <w:adjustRightInd/>
        <w:snapToGrid/>
        <w:spacing w:line="680" w:lineRule="exact"/>
        <w:ind w:firstLine="880" w:firstLineChars="200"/>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2024年以来，</w:t>
      </w:r>
      <w:r>
        <w:rPr>
          <w:rFonts w:hint="default" w:ascii="Times New Roman" w:hAnsi="Times New Roman" w:eastAsia="方正仿宋_GBK" w:cs="Times New Roman"/>
          <w:sz w:val="32"/>
          <w:szCs w:val="32"/>
        </w:rPr>
        <w:t>陇川县市场监督管理局</w:t>
      </w:r>
      <w:r>
        <w:rPr>
          <w:rFonts w:hint="default" w:ascii="Times New Roman" w:hAnsi="Times New Roman" w:eastAsia="方正仿宋_GBK" w:cs="Times New Roman"/>
          <w:sz w:val="32"/>
          <w:szCs w:val="32"/>
        </w:rPr>
        <w:t>坚持以习近平新时代中国特色社会主义思想为指导，深入学习贯彻党的二十大和二十届二中、三中全会精神以及习近平法治思想，认真贯彻法治建设“一规划两纲要”，</w:t>
      </w:r>
      <w:r>
        <w:rPr>
          <w:rFonts w:hint="default" w:ascii="Times New Roman" w:hAnsi="Times New Roman" w:eastAsia="方正仿宋_GBK" w:cs="Times New Roman"/>
          <w:sz w:val="32"/>
          <w:szCs w:val="32"/>
        </w:rPr>
        <w:t>认真贯彻落实习近平总书记对法制建设工作重要讲话批示精神。</w:t>
      </w:r>
      <w:r>
        <w:rPr>
          <w:rFonts w:hint="default" w:ascii="Times New Roman" w:hAnsi="Times New Roman" w:eastAsia="方正仿宋_GBK" w:cs="Times New Roman"/>
          <w:sz w:val="32"/>
          <w:szCs w:val="32"/>
        </w:rPr>
        <w:t>紧紧围绕县委“全面依法治县”重点工作，结合职能职责和工作实际，认真贯彻落实推进法治政府建设各项工作任务，</w:t>
      </w:r>
      <w:r>
        <w:rPr>
          <w:rFonts w:hint="default" w:ascii="Times New Roman" w:hAnsi="Times New Roman" w:eastAsia="方正仿宋_GBK" w:cs="Times New Roman"/>
          <w:sz w:val="32"/>
          <w:szCs w:val="32"/>
        </w:rPr>
        <w:t>牢固树立全国统一大市场理念，坚守安全底线，优化营商环境，规范市场竞争秩序,提升监管水平和监管效能取得了一定成效，</w:t>
      </w:r>
      <w:r>
        <w:rPr>
          <w:rFonts w:hint="default" w:ascii="Times New Roman" w:hAnsi="Times New Roman" w:eastAsia="方正仿宋_GBK" w:cs="Times New Roman"/>
          <w:sz w:val="32"/>
          <w:szCs w:val="32"/>
        </w:rPr>
        <w:t>现将一年来的工作情况报告如下：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一、坚持党的绝对领导，深入贯彻习近平法治思想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（一）深入学习习近平法治思想。</w:t>
      </w:r>
      <w:r>
        <w:rPr>
          <w:rFonts w:hint="default" w:ascii="Times New Roman" w:hAnsi="Times New Roman" w:eastAsia="方正仿宋_GBK" w:cs="Times New Roman"/>
          <w:sz w:val="32"/>
          <w:szCs w:val="32"/>
        </w:rPr>
        <w:t>围绕学深悟透习近平法治思想，利用局党组中心组学习会、党员会议、职工大会、等，多形式、分层次、全覆盖的认真学习贯彻中央全面依法治国工作会议、省委全面依法治省工作会议、州委全面依法治州工作会议、县委全面依法治县工作会议。深刻领会习近平总书记关于党的二十大以来法治建设的历史性成就和历史性变革的总结回顾、关于全面推进依法治国工程和率先取得突破历史使命的深刻论断、关于新形势下法治政府建设战略任务的部署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（二）科学规划法治政府建设工作。</w:t>
      </w:r>
      <w:r>
        <w:rPr>
          <w:rFonts w:hint="default" w:ascii="Times New Roman" w:hAnsi="Times New Roman" w:eastAsia="方正仿宋_GBK" w:cs="Times New Roman"/>
          <w:sz w:val="32"/>
          <w:szCs w:val="32"/>
        </w:rPr>
        <w:t>坚持以习近平法治思想和习近平总书记关于法治政府建设的重要论述指导实践、推动工作，按照上级部署要求，制定了推进全面依法治县工作要求和普法依法治理工作要点。坚持党组对法治政府建设工作的领导，持续抓好领导干部这个“关键少数”，确保全局工作在法治轨道上运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（三）持续推进机关法治建设。</w:t>
      </w:r>
      <w:r>
        <w:rPr>
          <w:rFonts w:hint="default" w:ascii="Times New Roman" w:hAnsi="Times New Roman" w:eastAsia="方正仿宋_GBK" w:cs="Times New Roman"/>
          <w:sz w:val="32"/>
          <w:szCs w:val="32"/>
        </w:rPr>
        <w:t>开展了党纪党规学习、廉政警示教育等，强化思想政治教育和纪律作风建设，引导党员干部牢固树立遵法守法意识。认真落实每月一学，着力增强干部职工法治观念，提升干部职工法治素养，促进法治机关和法治队伍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二、聚焦高效便民，进一步优化法治化营商环境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（一）继续深化“放管服”服务工作。</w:t>
      </w:r>
      <w:r>
        <w:rPr>
          <w:rFonts w:hint="default" w:ascii="Times New Roman" w:hAnsi="Times New Roman" w:eastAsia="方正仿宋_GBK" w:cs="Times New Roman"/>
          <w:sz w:val="32"/>
          <w:szCs w:val="32"/>
        </w:rPr>
        <w:t>一是</w:t>
      </w:r>
      <w:r>
        <w:rPr>
          <w:rFonts w:hint="default" w:ascii="Times New Roman" w:hAnsi="Times New Roman" w:eastAsia="方正仿宋_GBK" w:cs="Times New Roman"/>
          <w:sz w:val="32"/>
          <w:szCs w:val="32"/>
        </w:rPr>
        <w:t>继续深化“放管服”。持续推进商事制度改革，严格执行“市场准入负面清单（2022年版）”《中华人民共和国公司法》《促进个体工商户发展条例》《中华人民共和国市场主体登记管理条例》及其《实施细则》，实现“法无禁止即可为”“清单之外无审批”，依法开展经营主体登记注册工作。动态调整完善市场监管部门政务服务事项办事指南及业务手册，积极推进“个体工商户登记智能化开办”“电子营业执照”“开办企业一窗通”“电子印章”。将“高效办成一件事”改革作为优化营商环境、提升行政效能的重要抓手，牵头推进开办餐饮店、企业信息变更、企业注销登记“高效办成一件事”。6月18日办理全县首份开办餐饮店“一件事”食品经营许可、9月4日为经营地址在王子树乡小牛寨的“陇川县大梁山养鸡场”办理全县首份企业注销登记“一件事”，让偏远山区的经营主体体验了智慧高效便捷的政务服务。截至10月23日，共办理开办餐饮店“一件事”食品经营许可1件、企业信息变更“一件事”35件、企业注销登记“一件事”6件。完成211户（企业42户、个体工商户169户）经营主体“四万三进两个紧密结合”三问三看三查问卷调查。完成个体工商户分型分类精准帮扶申报4户。</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rPr>
        <w:t>当面见企业</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rPr>
        <w:t>领导“窗口带班”</w:t>
      </w:r>
      <w:r>
        <w:rPr>
          <w:rFonts w:hint="default" w:ascii="Times New Roman" w:hAnsi="Times New Roman" w:eastAsia="方正仿宋_GBK" w:cs="Times New Roman"/>
          <w:sz w:val="32"/>
          <w:szCs w:val="32"/>
        </w:rPr>
        <w:t>20余次</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截至10月23日，全局受理经营主体登记行政许可8027件，其中：设立登记4379件、变更登记1998件、注销登记1432件（其中简易注销334件），其他218件。经营主体通过网上申请办件6186件，其中：企业966件（其中：线上“一窗通”547件、全程电子化416件、企业开办小程序3件）、个体工商户5220件。网办率占77%。</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（二）推进“双随机、一公开”监管常态化。</w:t>
      </w:r>
      <w:r>
        <w:rPr>
          <w:rFonts w:hint="default" w:ascii="Times New Roman" w:hAnsi="Times New Roman" w:eastAsia="方正仿宋_GBK" w:cs="Times New Roman"/>
          <w:sz w:val="32"/>
          <w:szCs w:val="32"/>
        </w:rPr>
        <w:t>截至10月25日，</w:t>
      </w:r>
      <w:r>
        <w:rPr>
          <w:rFonts w:hint="default" w:ascii="Times New Roman" w:hAnsi="Times New Roman" w:eastAsia="方正仿宋_GBK" w:cs="Times New Roman"/>
          <w:sz w:val="32"/>
          <w:szCs w:val="32"/>
        </w:rPr>
        <w:t>一是</w:t>
      </w:r>
      <w:r>
        <w:rPr>
          <w:rFonts w:hint="default" w:ascii="Times New Roman" w:hAnsi="Times New Roman" w:eastAsia="方正仿宋_GBK" w:cs="Times New Roman"/>
          <w:sz w:val="32"/>
          <w:szCs w:val="32"/>
        </w:rPr>
        <w:t>统筹协调本系统“双随机、一公开”监管工作，开展省、州级下达的“2024年度云南省市场监督管理局文物保护“双随机、一公开”抽查”“德宏州市场监督管理局2023年下半年新设立企业经营场所“双随机、一公开”抽查工作方案”等17个部门计划，抽查对象涉及386户；7个部门联系计划，抽查对象涉及32户。</w:t>
      </w:r>
      <w:r>
        <w:rPr>
          <w:rFonts w:hint="default" w:ascii="Times New Roman" w:hAnsi="Times New Roman" w:eastAsia="方正仿宋_GBK" w:cs="Times New Roman"/>
          <w:sz w:val="32"/>
          <w:szCs w:val="32"/>
        </w:rPr>
        <w:t>二是</w:t>
      </w:r>
      <w:r>
        <w:rPr>
          <w:rFonts w:hint="default" w:ascii="Times New Roman" w:hAnsi="Times New Roman" w:eastAsia="方正仿宋_GBK" w:cs="Times New Roman"/>
          <w:sz w:val="32"/>
          <w:szCs w:val="32"/>
        </w:rPr>
        <w:t>积极履行市场监管领域部门联合“双随机、一公开”抽查工作联席会议领导小组办公室工作职责，今年县气象局重新申请加入，目前全县共23家单位参与“双随机、一公开”监管工作，联席会议领导小组办公室结合工作制发文件6份。制定了陇川县市场监管领域2024年度部门“双随机、一公开”抽查计划45个，部门联合“双随机、一公开”抽查计划14个。各成员单位结合工作实际，开展了部门计划30个，抽查对象涉及797户；部门联合计划9个，抽查对象涉及35户。</w:t>
      </w:r>
      <w:r>
        <w:rPr>
          <w:rFonts w:hint="default" w:ascii="Times New Roman" w:hAnsi="Times New Roman" w:eastAsia="方正仿宋_GBK"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（三）认真开展涉企信息归集工作。</w:t>
      </w:r>
      <w:r>
        <w:rPr>
          <w:rFonts w:hint="default" w:ascii="Times New Roman" w:hAnsi="Times New Roman" w:eastAsia="方正仿宋_GBK" w:cs="Times New Roman"/>
          <w:sz w:val="32"/>
          <w:szCs w:val="32"/>
        </w:rPr>
        <w:t>积极引导相关成员单位通过“</w:t>
      </w:r>
      <w:r>
        <w:rPr>
          <w:rFonts w:hint="default" w:ascii="Times New Roman" w:hAnsi="Times New Roman" w:eastAsia="方正仿宋_GBK" w:cs="Times New Roman"/>
          <w:sz w:val="32"/>
          <w:szCs w:val="32"/>
        </w:rPr>
        <w:t>国家企业信用信息公示系统（协同监管平台—云南）</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rPr>
        <w:t>共享和运用，确实履行事中事后监管职责。2024年1月1日至10月23日，全县共归集各类有效涉企信息3953条，其中行政许可信息2565条、行政处罚信息28条、抽查检查信息1360条。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（四）强化经营主体经营异常管理。</w:t>
      </w:r>
      <w:r>
        <w:rPr>
          <w:rFonts w:hint="default" w:ascii="Times New Roman" w:hAnsi="Times New Roman" w:eastAsia="方正仿宋_GBK" w:cs="Times New Roman"/>
          <w:sz w:val="32"/>
          <w:szCs w:val="32"/>
        </w:rPr>
        <w:t>结合日常监管工作</w:t>
      </w:r>
      <w:r>
        <w:rPr>
          <w:rFonts w:hint="default" w:ascii="Times New Roman" w:hAnsi="Times New Roman" w:eastAsia="方正仿宋_GBK" w:cs="Times New Roman"/>
          <w:sz w:val="32"/>
          <w:szCs w:val="32"/>
        </w:rPr>
        <w:t>，依法将未履行年报义务、通过登记的住所或者经营场所无法联系等情形的经营主体列入经营异常名录和严重违法名录，加大政府部门和金融机构的联合惩戒力度。</w:t>
      </w:r>
      <w:r>
        <w:rPr>
          <w:rFonts w:hint="default" w:ascii="Times New Roman" w:hAnsi="Times New Roman" w:eastAsia="方正仿宋_GBK" w:cs="Times New Roman"/>
          <w:sz w:val="32"/>
          <w:szCs w:val="32"/>
        </w:rPr>
        <w:t>截至2024年10月23日</w:t>
      </w:r>
      <w:r>
        <w:rPr>
          <w:rFonts w:hint="default" w:ascii="Times New Roman" w:hAnsi="Times New Roman" w:eastAsia="方正仿宋_GBK" w:cs="Times New Roman"/>
          <w:sz w:val="32"/>
          <w:szCs w:val="32"/>
        </w:rPr>
        <w:t>，列入经营异常名录经营主体1543条，其中：企业176条、农民专业合作社9条、个体工商户1358条。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（五）加大联合惩戒力度，强化信用应用。</w:t>
      </w:r>
      <w:r>
        <w:rPr>
          <w:rFonts w:hint="default" w:ascii="Times New Roman" w:hAnsi="Times New Roman" w:eastAsia="方正仿宋_GBK" w:cs="Times New Roman"/>
          <w:sz w:val="32"/>
          <w:szCs w:val="32"/>
        </w:rPr>
        <w:t>积极配合相关部门对在政府采购、工程招投标、国有土地出让、授予荣誉称号、评先评优等工作中，对企业和个人的信用信息进行查询，1-10月，</w:t>
      </w:r>
      <w:r>
        <w:rPr>
          <w:rFonts w:hint="default" w:ascii="Times New Roman" w:hAnsi="Times New Roman" w:eastAsia="方正仿宋_GBK" w:cs="Times New Roman"/>
          <w:sz w:val="32"/>
          <w:szCs w:val="32"/>
        </w:rPr>
        <w:t>共核查61次640（人）、24户（企业）。</w:t>
      </w:r>
      <w:r>
        <w:rPr>
          <w:rFonts w:hint="default" w:ascii="Times New Roman" w:hAnsi="Times New Roman" w:eastAsia="方正仿宋_GBK" w:cs="Times New Roman"/>
          <w:sz w:val="32"/>
          <w:szCs w:val="32"/>
        </w:rPr>
        <w:t>依法依规限制失信联合惩戒对象</w:t>
      </w:r>
      <w:r>
        <w:rPr>
          <w:rFonts w:hint="default" w:ascii="Times New Roman" w:hAnsi="Times New Roman" w:eastAsia="方正仿宋_GBK" w:cs="Times New Roman"/>
          <w:sz w:val="32"/>
          <w:szCs w:val="32"/>
        </w:rPr>
        <w:t>，在市场准入许可时，驳回失信被执行人行政许可申</w:t>
      </w:r>
      <w:r>
        <w:rPr>
          <w:rFonts w:hint="default" w:ascii="Times New Roman" w:hAnsi="Times New Roman" w:eastAsia="方正仿宋_GBK" w:cs="Times New Roman"/>
          <w:sz w:val="32"/>
          <w:szCs w:val="32"/>
        </w:rPr>
        <w:t>请1次/人。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三、知识产权发展增创新优势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（一）加强对知识产权工作的领导，推动知识产权高质量发展。</w:t>
      </w:r>
      <w:r>
        <w:rPr>
          <w:rFonts w:hint="default" w:ascii="Times New Roman" w:hAnsi="Times New Roman" w:eastAsia="方正仿宋_GBK" w:cs="Times New Roman"/>
          <w:sz w:val="32"/>
          <w:szCs w:val="32"/>
        </w:rPr>
        <w:t>结合工作实际，及时调整充实了我县知识产权工作协调机构，完善了知识产权战略实施工作联席会议制度，定期不定期召开知识产权工作会议，抓实知识产权制度体系建设、抓强知识产权保护创新、抓优知识产权服务质量，全社会知识产权保护意识进一步提高，涌现了一批中科雨虹、德宏正信等具有知识产权优势竞争力的市场主体，为推动我县经济社会高质量发展提供了支撑和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（二）加强宣传和服务，知识产权体系不断健全完善。</w:t>
      </w:r>
      <w:r>
        <w:rPr>
          <w:rFonts w:hint="default" w:ascii="Times New Roman" w:hAnsi="Times New Roman" w:eastAsia="方正仿宋_GBK" w:cs="Times New Roman"/>
          <w:sz w:val="32"/>
          <w:szCs w:val="32"/>
        </w:rPr>
        <w:t>一是</w:t>
      </w:r>
      <w:r>
        <w:rPr>
          <w:rFonts w:hint="default" w:ascii="Times New Roman" w:hAnsi="Times New Roman" w:eastAsia="方正仿宋_GBK" w:cs="Times New Roman"/>
          <w:sz w:val="32"/>
          <w:szCs w:val="32"/>
        </w:rPr>
        <w:t>全县通过组织开展知识产权宣传周、业务培训、上门服务企业等方式，强化知识产权普及和宣传，采取“一企一策”分类指导，引导企业建立健全知识产权管理和保护制度，全县市场主体的知识产权意识明显提升。</w:t>
      </w:r>
      <w:r>
        <w:rPr>
          <w:rFonts w:hint="default" w:ascii="Times New Roman" w:hAnsi="Times New Roman" w:eastAsia="方正仿宋_GBK" w:cs="Times New Roman"/>
          <w:sz w:val="32"/>
          <w:szCs w:val="32"/>
        </w:rPr>
        <w:t>二是</w:t>
      </w:r>
      <w:r>
        <w:rPr>
          <w:rFonts w:hint="default" w:ascii="Times New Roman" w:hAnsi="Times New Roman" w:eastAsia="方正仿宋_GBK" w:cs="Times New Roman"/>
          <w:sz w:val="32"/>
          <w:szCs w:val="32"/>
        </w:rPr>
        <w:t>组织实施知识产权示范企业培育工作，引导安琪酵母、百信胶带等企业及时将科研成果、核心技术和名优产品申请知识产权保护，促进知识产权质量和数量稳步提升。</w:t>
      </w:r>
      <w:r>
        <w:rPr>
          <w:rFonts w:hint="default" w:ascii="Times New Roman" w:hAnsi="Times New Roman" w:eastAsia="方正仿宋_GBK" w:cs="Times New Roman"/>
          <w:sz w:val="32"/>
          <w:szCs w:val="32"/>
        </w:rPr>
        <w:t>三是</w:t>
      </w:r>
      <w:r>
        <w:rPr>
          <w:rFonts w:hint="default" w:ascii="Times New Roman" w:hAnsi="Times New Roman" w:eastAsia="方正仿宋_GBK" w:cs="Times New Roman"/>
          <w:sz w:val="32"/>
          <w:szCs w:val="32"/>
        </w:rPr>
        <w:t>健全科技投入机制和激励机制，结合县域产业发展和企业需求，陇川工业园区获批2023年至2024年德宏州园区专利转化项目，项目资金10万元，有效促进了园区企业专利技术引进与转化工作。</w:t>
      </w:r>
      <w:r>
        <w:rPr>
          <w:rFonts w:hint="default" w:ascii="Times New Roman" w:hAnsi="Times New Roman" w:eastAsia="方正仿宋_GBK" w:cs="Times New Roman"/>
          <w:sz w:val="32"/>
          <w:szCs w:val="32"/>
        </w:rPr>
        <w:t>四是</w:t>
      </w:r>
      <w:r>
        <w:rPr>
          <w:rFonts w:hint="default" w:ascii="Times New Roman" w:hAnsi="Times New Roman" w:eastAsia="方正仿宋_GBK" w:cs="Times New Roman"/>
          <w:sz w:val="32"/>
          <w:szCs w:val="32"/>
        </w:rPr>
        <w:t>加强金融知识产权与科技金融政策相衔接，积极引导、鼓励和支持金融机构创新知识产权融资产品，组织企业参加知识产权质押融资宣传培训，帮助企业通过知识产权质押贷款了解政策，增强了企业的创新活力和市场竞争力，推动我县知识产权质押融资创新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（三）优化知识产权服务体系，强化创新服务效能。</w:t>
      </w:r>
      <w:r>
        <w:rPr>
          <w:rFonts w:hint="default" w:ascii="Times New Roman" w:hAnsi="Times New Roman" w:eastAsia="方正仿宋_GBK" w:cs="Times New Roman"/>
          <w:sz w:val="32"/>
          <w:szCs w:val="32"/>
        </w:rPr>
        <w:t>一是</w:t>
      </w:r>
      <w:r>
        <w:rPr>
          <w:rFonts w:hint="default" w:ascii="Times New Roman" w:hAnsi="Times New Roman" w:eastAsia="方正仿宋_GBK" w:cs="Times New Roman"/>
          <w:sz w:val="32"/>
          <w:szCs w:val="32"/>
        </w:rPr>
        <w:t>深入企业，实施“一企一策”定制化服务，帮助企业建立健全知识产权管理和保护制度，并培养专业管理人才。</w:t>
      </w:r>
      <w:r>
        <w:rPr>
          <w:rFonts w:hint="default" w:ascii="Times New Roman" w:hAnsi="Times New Roman" w:eastAsia="方正仿宋_GBK" w:cs="Times New Roman"/>
          <w:sz w:val="32"/>
          <w:szCs w:val="32"/>
        </w:rPr>
        <w:t>二是</w:t>
      </w:r>
      <w:r>
        <w:rPr>
          <w:rFonts w:hint="default" w:ascii="Times New Roman" w:hAnsi="Times New Roman" w:eastAsia="方正仿宋_GBK" w:cs="Times New Roman"/>
          <w:sz w:val="32"/>
          <w:szCs w:val="32"/>
        </w:rPr>
        <w:t>积极推动知识产权示范企业培育申报工作，通过树立示范典型，以点带面，激发企业成为知识产权工作的主体。引导安琪酵母、德宏正信等企业积极申报云南省知识产权示范企业。</w:t>
      </w:r>
      <w:r>
        <w:rPr>
          <w:rFonts w:hint="default" w:ascii="Times New Roman" w:hAnsi="Times New Roman" w:eastAsia="方正仿宋_GBK" w:cs="Times New Roman"/>
          <w:sz w:val="32"/>
          <w:szCs w:val="32"/>
        </w:rPr>
        <w:t>三是</w:t>
      </w:r>
      <w:r>
        <w:rPr>
          <w:rFonts w:hint="default" w:ascii="Times New Roman" w:hAnsi="Times New Roman" w:eastAsia="方正仿宋_GBK" w:cs="Times New Roman"/>
          <w:sz w:val="32"/>
          <w:szCs w:val="32"/>
        </w:rPr>
        <w:t>聚焦品牌建设和特色产业培育，深入挖掘、培育和运用农产品地理标志，为乡村振兴注入新动力。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（四）进一步强化知识产权保护力度。</w:t>
      </w:r>
      <w:r>
        <w:rPr>
          <w:rFonts w:hint="default" w:ascii="Times New Roman" w:hAnsi="Times New Roman" w:eastAsia="方正仿宋_GBK" w:cs="Times New Roman"/>
          <w:sz w:val="32"/>
          <w:szCs w:val="32"/>
        </w:rPr>
        <w:t>一是</w:t>
      </w:r>
      <w:r>
        <w:rPr>
          <w:rFonts w:hint="default" w:ascii="Times New Roman" w:hAnsi="Times New Roman" w:eastAsia="方正仿宋_GBK" w:cs="Times New Roman"/>
          <w:sz w:val="32"/>
          <w:szCs w:val="32"/>
        </w:rPr>
        <w:t>深入实施“打假护牌”专项行动。以“打击假冒、保护名优、促进发展”为核心目标，集中力量查处假冒注册商标及其他侵犯知识产权的违法行为。重点整治了群众反映强烈、假冒伪劣商品泛滥的集散地、批发市场，以及制假售假行为猖獗、一地一品或一地多品现象突出的区域，坚决打击侵权假冒和不正当竞争行为，以维护公平竞争的市场秩序，为经济社会的持续健康平稳发展提供有力保障。</w:t>
      </w:r>
      <w:r>
        <w:rPr>
          <w:rFonts w:hint="default" w:ascii="Times New Roman" w:hAnsi="Times New Roman" w:eastAsia="方正仿宋_GBK" w:cs="Times New Roman"/>
          <w:sz w:val="32"/>
          <w:szCs w:val="32"/>
        </w:rPr>
        <w:t>二是</w:t>
      </w:r>
      <w:r>
        <w:rPr>
          <w:rFonts w:hint="default" w:ascii="Times New Roman" w:hAnsi="Times New Roman" w:eastAsia="方正仿宋_GBK" w:cs="Times New Roman"/>
          <w:sz w:val="32"/>
          <w:szCs w:val="32"/>
        </w:rPr>
        <w:t>开展非正常专利申请专项整治行动。积极应对推送的非正常专利申请，进行全面核查，并指导、督促相关申请人撤回不以创新保护为目的的非正常专利申请。同时，对于存在异议的非正常专利申请，建立了畅通的投诉渠道，指导申请人通过国家知识产权局专利业务办理平台提交陈述意见和相关证明材料，确保整治工作的公正性和透明度。严厉打击恶意商标代理、无资质专利代理等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四、保障法治统一，着力提高制度建设质量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（一）强化合法性审查源头把关。</w:t>
      </w:r>
      <w:r>
        <w:rPr>
          <w:rFonts w:hint="default" w:ascii="Times New Roman" w:hAnsi="Times New Roman" w:eastAsia="方正仿宋_GBK" w:cs="Times New Roman"/>
          <w:sz w:val="32"/>
          <w:szCs w:val="32"/>
        </w:rPr>
        <w:t>严把法制审查关，做好了重大行政决定、行政规范性文件的合法性审查工作。制定了重大行政执法决定法制审核制度、行政处罚案件审核和法治审核办法等规定。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（二）严格规范性文件审核、清理工作。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（三）严格落实重大行政决策程序规定。</w:t>
      </w:r>
      <w:r>
        <w:rPr>
          <w:rFonts w:hint="default" w:ascii="Times New Roman" w:hAnsi="Times New Roman" w:eastAsia="方正仿宋_GBK" w:cs="Times New Roman"/>
          <w:sz w:val="32"/>
          <w:szCs w:val="32"/>
        </w:rPr>
        <w:t>严格执行集体讨论等重大行政决策程序。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五、规范行政执法，全面提升依法行政能力和水平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（一）持续推进行政执法规范化标准建设。</w:t>
      </w:r>
      <w:r>
        <w:rPr>
          <w:rFonts w:hint="default" w:ascii="Times New Roman" w:hAnsi="Times New Roman" w:eastAsia="方正仿宋_GBK" w:cs="Times New Roman"/>
          <w:sz w:val="32"/>
          <w:szCs w:val="32"/>
        </w:rPr>
        <w:t>认真执行《云南省行政执法公示办法》《云南省行政执法全过程记录办法》《云南省重大行政执法决定法制审核办法》，推进行政执法标准化、信息化建设，深入推进行政执法“三项制度”的落实。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（二）协调推进综合行政执法体制改革。</w:t>
      </w:r>
      <w:r>
        <w:rPr>
          <w:rFonts w:hint="default" w:ascii="Times New Roman" w:hAnsi="Times New Roman" w:eastAsia="方正仿宋_GBK" w:cs="Times New Roman"/>
          <w:sz w:val="32"/>
          <w:szCs w:val="32"/>
        </w:rPr>
        <w:t>持续深化市场监督管理综合执法改革。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（三）强化行政执法人员管理。</w:t>
      </w:r>
      <w:r>
        <w:rPr>
          <w:rFonts w:hint="default" w:ascii="Times New Roman" w:hAnsi="Times New Roman" w:eastAsia="方正仿宋_GBK" w:cs="Times New Roman"/>
          <w:sz w:val="32"/>
          <w:szCs w:val="32"/>
        </w:rPr>
        <w:t>严格执行行政执法人员持证上岗制度，认真落实行政执法证件管理办法。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（四）全面强化行政执法监督。</w:t>
      </w:r>
      <w:r>
        <w:rPr>
          <w:rFonts w:hint="default" w:ascii="Times New Roman" w:hAnsi="Times New Roman" w:eastAsia="方正仿宋_GBK" w:cs="Times New Roman"/>
          <w:sz w:val="32"/>
          <w:szCs w:val="32"/>
        </w:rPr>
        <w:t>认真落实新修订的《中华人民共和国行政处罚法》，调整完善行政处罚制度的配套规定，调整了局行政处罚案件审查委员会。加强行政执法监督工作。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六、维护社会稳定，健全社会矛盾多元化解机制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（一）深化矛盾纠纷调解工作。</w:t>
      </w:r>
      <w:r>
        <w:rPr>
          <w:rFonts w:hint="default" w:ascii="Times New Roman" w:hAnsi="Times New Roman" w:eastAsia="方正仿宋_GBK" w:cs="Times New Roman"/>
          <w:sz w:val="32"/>
          <w:szCs w:val="32"/>
        </w:rPr>
        <w:t>立足本职，认真落实《云南省纠纷多元化解条例》，全年</w:t>
      </w:r>
      <w:r>
        <w:rPr>
          <w:rFonts w:hint="default" w:ascii="Times New Roman" w:hAnsi="Times New Roman" w:eastAsia="方正仿宋_GBK" w:cs="Times New Roman"/>
          <w:sz w:val="32"/>
          <w:szCs w:val="32"/>
        </w:rPr>
        <w:t>共受理消费者投诉举报案件226件，其中：投诉189件（含线下投诉20件、12345政府热线及信访12件）、举报37件，办结率100%，争议金额19.9051万元，为消费者挽回经济损失10.7111万元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（二）加强行政复议应诉工作。</w:t>
      </w:r>
      <w:r>
        <w:rPr>
          <w:rFonts w:hint="default" w:ascii="Times New Roman" w:hAnsi="Times New Roman" w:eastAsia="方正仿宋_GBK" w:cs="Times New Roman"/>
          <w:sz w:val="32"/>
          <w:szCs w:val="32"/>
        </w:rPr>
        <w:t>认真落实《行政复议法》《行政诉讼法》，落实机关负责人出庭应诉制度。全年无行政诉讼案件。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七、坚持为民宗旨，提升群众法治获得感和满足感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（一）全面推行行政政务公开。</w:t>
      </w:r>
      <w:r>
        <w:rPr>
          <w:rFonts w:hint="default" w:ascii="Times New Roman" w:hAnsi="Times New Roman" w:eastAsia="方正仿宋_GBK" w:cs="Times New Roman"/>
          <w:sz w:val="32"/>
          <w:szCs w:val="32"/>
        </w:rPr>
        <w:t>围绕重点领域和人民群众关心的焦点热点，按照《云南省府信息公开规定》主动公开了职责权限、财务预算、人事任免、重大行政决定、行政许可、行政处罚等。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（二）全面推行告知承诺制。</w:t>
      </w:r>
      <w:r>
        <w:rPr>
          <w:rFonts w:hint="default" w:ascii="Times New Roman" w:hAnsi="Times New Roman" w:eastAsia="方正仿宋_GBK" w:cs="Times New Roman"/>
          <w:sz w:val="32"/>
          <w:szCs w:val="32"/>
        </w:rPr>
        <w:t>结合市场监管工作实际，对行政许可实行了“双告知”，重大行政处罚履行了告知义务。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（三）认真贯彻执行尊法学法守法用法，推动落实“谁执法谁普法”普法责任制情况。</w:t>
      </w:r>
      <w:r>
        <w:rPr>
          <w:rFonts w:hint="default" w:ascii="Times New Roman" w:hAnsi="Times New Roman" w:eastAsia="方正仿宋_GBK" w:cs="Times New Roman"/>
          <w:sz w:val="32"/>
          <w:szCs w:val="32"/>
        </w:rPr>
        <w:t>深入开展普法宣传教育活动，以习近平法治思想为指引，结合“八五”普法规划实施，开展形式多样、内容丰富、重点突出的普法宣传活动，努力营造尊崇法律、学习法律、遵守法律、维护法律、运用法律的浓厚氛围。多措并举开展“法律进企业”“进社区”等活动，引导市场主体守法经营。利用“3·15”“4·26”“12.4”和食品安全宣传周等重要时间节点，组织开展消费保护、食品安全、特种设备安全、工业产品质量安全等方面的法律法规宣传，向社会传播市场监管法律知识，提高广大消费者依法维护权益的意识和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八、存在问题及下一步工作打算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虽然我局在法治政府建设方面采取了多项举措，也取得了一些成效，但在开展这项工作中也发现一些问题，如普法宣传的深度还不够、执法人员</w:t>
      </w:r>
      <w:bookmarkStart w:id="0" w:name="_GoBack"/>
      <w:bookmarkEnd w:id="0"/>
      <w:r>
        <w:rPr>
          <w:rFonts w:hint="default" w:ascii="Times New Roman" w:hAnsi="Times New Roman" w:eastAsia="方正仿宋_GBK" w:cs="Times New Roman"/>
          <w:sz w:val="32"/>
          <w:szCs w:val="32"/>
        </w:rPr>
        <w:t>的法治思维和依法行政能力有待进一步提高、各项规章制度还有待完善、案件材料不够规范等问题。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下一步，我局将继续严格落实法治政府建设的各项要求，一是要认真贯彻二十大精神，全面提升干部队伍依法履职能力，严格依法行政，推动法治贯穿工作全过程和各方面。二是针对行政执法案卷评查过程中查找出来的问题，进一步规范执法程序，规范执法行为，对行政检查、行政处罚、行政许可等工作程序进行优化，建立长效机制，推进执法规范化建设。三是创新执法监督方式方法，在强化监督效果上下功夫，以案卷质量评查为主要抓手，拓展评查范围。四是加强执法队伍规范化建设，通过以会代训、专题培训、以案释法、典型案例评析等方式，提高基层干部执法水平和综合素质。</w:t>
      </w: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陇川县市场监督管理局</w:t>
      </w:r>
    </w:p>
    <w:p>
      <w:pPr>
        <w:keepNext w:val="0"/>
        <w:keepLines w:val="0"/>
        <w:pageBreakBefore w:val="0"/>
        <w:widowControl w:val="0"/>
        <w:kinsoku/>
        <w:wordWrap/>
        <w:overflowPunct/>
        <w:topLinePunct w:val="0"/>
        <w:autoSpaceDE/>
        <w:autoSpaceDN/>
        <w:bidi w:val="0"/>
        <w:adjustRightInd/>
        <w:snapToGrid/>
        <w:spacing w:line="560" w:lineRule="exact"/>
        <w:ind w:firstLine="5760" w:firstLineChars="18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2024年12月24日</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方正新报宋简体">
    <w:panose1 w:val="02010601030101010101"/>
    <w:charset w:val="86"/>
    <w:family w:val="auto"/>
    <w:pitch w:val="default"/>
    <w:sig w:usb0="00000001" w:usb1="080E0000" w:usb2="00000000" w:usb3="00000000" w:csb0="00040000" w:csb1="00000000"/>
  </w:font>
  <w:font w:name="方正康体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水柱简体">
    <w:panose1 w:val="02010601030101010101"/>
    <w:charset w:val="86"/>
    <w:family w:val="auto"/>
    <w:pitch w:val="default"/>
    <w:sig w:usb0="00000001" w:usb1="080E0000" w:usb2="00000000" w:usb3="00000000" w:csb0="00040000" w:csb1="00000000"/>
  </w:font>
  <w:font w:name="方正魏碑简体">
    <w:panose1 w:val="02010601030101010101"/>
    <w:charset w:val="86"/>
    <w:family w:val="auto"/>
    <w:pitch w:val="default"/>
    <w:sig w:usb0="00000001" w:usb1="080E0000" w:usb2="00000000" w:usb3="00000000" w:csb0="00040000" w:csb1="00000000"/>
  </w:font>
  <w:font w:name="hakuyoxingshu7000">
    <w:panose1 w:val="02000600000000000000"/>
    <w:charset w:val="86"/>
    <w:family w:val="auto"/>
    <w:pitch w:val="default"/>
    <w:sig w:usb0="FFFFFFFF" w:usb1="E9FFFFFF" w:usb2="0000003F" w:usb3="00000000" w:csb0="603F00FF" w:csb1="FFFF0000"/>
  </w:font>
  <w:font w:name="Bahnschrift SemiBold">
    <w:panose1 w:val="020B0502040204020203"/>
    <w:charset w:val="00"/>
    <w:family w:val="auto"/>
    <w:pitch w:val="default"/>
    <w:sig w:usb0="800002C7" w:usb1="00000002" w:usb2="00000000" w:usb3="00000000" w:csb0="2000019F" w:csb1="00000000"/>
  </w:font>
  <w:font w:name="方正新舒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5"/>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 xml:space="preserve">— </w:t>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  \* MERGEFORMAT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1</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pPr>
                      <w:pStyle w:val="5"/>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 xml:space="preserve">— </w:t>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  \* MERGEFORMAT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1</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sz w:val="28"/>
                        <w:szCs w:val="28"/>
                      </w:rPr>
                      <w:t xml:space="preserve"> —</w:t>
                    </w:r>
                  </w:p>
                </w:txbxContent>
              </v:textbox>
            </v:shape>
          </w:pict>
        </mc:Fallback>
      </mc:AlternateContent>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421C5F"/>
    <w:rsid w:val="00031EAF"/>
    <w:rsid w:val="0006431A"/>
    <w:rsid w:val="000752C9"/>
    <w:rsid w:val="0008529D"/>
    <w:rsid w:val="000F642E"/>
    <w:rsid w:val="001251AB"/>
    <w:rsid w:val="001272A0"/>
    <w:rsid w:val="00192905"/>
    <w:rsid w:val="001C13FB"/>
    <w:rsid w:val="001C4155"/>
    <w:rsid w:val="001D02F6"/>
    <w:rsid w:val="00253FC2"/>
    <w:rsid w:val="002C4CC4"/>
    <w:rsid w:val="002F4BB3"/>
    <w:rsid w:val="00337922"/>
    <w:rsid w:val="00342695"/>
    <w:rsid w:val="00342941"/>
    <w:rsid w:val="00474C1B"/>
    <w:rsid w:val="00480384"/>
    <w:rsid w:val="00490018"/>
    <w:rsid w:val="004946BA"/>
    <w:rsid w:val="004B6E95"/>
    <w:rsid w:val="004E7A90"/>
    <w:rsid w:val="00536FAF"/>
    <w:rsid w:val="005D09B6"/>
    <w:rsid w:val="005F091C"/>
    <w:rsid w:val="00604319"/>
    <w:rsid w:val="00630EAB"/>
    <w:rsid w:val="00672D62"/>
    <w:rsid w:val="006977E6"/>
    <w:rsid w:val="006D0E3E"/>
    <w:rsid w:val="0075124C"/>
    <w:rsid w:val="007C5E7C"/>
    <w:rsid w:val="007F1C65"/>
    <w:rsid w:val="008001D8"/>
    <w:rsid w:val="008879E4"/>
    <w:rsid w:val="009B5F22"/>
    <w:rsid w:val="009E4362"/>
    <w:rsid w:val="00A47DD6"/>
    <w:rsid w:val="00A578F4"/>
    <w:rsid w:val="00A93F43"/>
    <w:rsid w:val="00AB20D1"/>
    <w:rsid w:val="00B15008"/>
    <w:rsid w:val="00B6620F"/>
    <w:rsid w:val="00BE70BD"/>
    <w:rsid w:val="00C753AF"/>
    <w:rsid w:val="00C83851"/>
    <w:rsid w:val="00C843E3"/>
    <w:rsid w:val="00D11047"/>
    <w:rsid w:val="00D3090F"/>
    <w:rsid w:val="00D327A4"/>
    <w:rsid w:val="00D3287A"/>
    <w:rsid w:val="00D77263"/>
    <w:rsid w:val="00DB0AFE"/>
    <w:rsid w:val="00E17435"/>
    <w:rsid w:val="00E34B4D"/>
    <w:rsid w:val="00E737B6"/>
    <w:rsid w:val="00F21F8A"/>
    <w:rsid w:val="00F25FDE"/>
    <w:rsid w:val="00F70C6E"/>
    <w:rsid w:val="00FD661B"/>
    <w:rsid w:val="00FE5118"/>
    <w:rsid w:val="01411659"/>
    <w:rsid w:val="05A90449"/>
    <w:rsid w:val="05BC45FA"/>
    <w:rsid w:val="21965FF1"/>
    <w:rsid w:val="26407E87"/>
    <w:rsid w:val="27CF35AA"/>
    <w:rsid w:val="3F421C5F"/>
    <w:rsid w:val="470D21F6"/>
    <w:rsid w:val="5E404771"/>
    <w:rsid w:val="6E4F761B"/>
    <w:rsid w:val="791D4004"/>
    <w:rsid w:val="7E1675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5"/>
    <w:qFormat/>
    <w:uiPriority w:val="0"/>
    <w:rPr>
      <w:rFonts w:ascii="Times New Roman" w:hAnsi="Times New Roman" w:eastAsia="宋体" w:cs="Times New Roman"/>
      <w:sz w:val="32"/>
      <w:szCs w:val="20"/>
    </w:rPr>
  </w:style>
  <w:style w:type="paragraph" w:styleId="4">
    <w:name w:val="Balloon Text"/>
    <w:basedOn w:val="1"/>
    <w:link w:val="14"/>
    <w:qFormat/>
    <w:uiPriority w:val="0"/>
    <w:rPr>
      <w:sz w:val="18"/>
      <w:szCs w:val="18"/>
    </w:r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character" w:customStyle="1" w:styleId="12">
    <w:name w:val="页眉 Char"/>
    <w:basedOn w:val="9"/>
    <w:link w:val="6"/>
    <w:qFormat/>
    <w:uiPriority w:val="0"/>
    <w:rPr>
      <w:rFonts w:asciiTheme="minorHAnsi" w:hAnsiTheme="minorHAnsi" w:eastAsiaTheme="minorEastAsia" w:cstheme="minorBidi"/>
      <w:kern w:val="2"/>
      <w:sz w:val="18"/>
      <w:szCs w:val="18"/>
    </w:rPr>
  </w:style>
  <w:style w:type="character" w:customStyle="1" w:styleId="13">
    <w:name w:val="页脚 Char"/>
    <w:basedOn w:val="9"/>
    <w:link w:val="5"/>
    <w:qFormat/>
    <w:uiPriority w:val="99"/>
    <w:rPr>
      <w:rFonts w:asciiTheme="minorHAnsi" w:hAnsiTheme="minorHAnsi" w:eastAsiaTheme="minorEastAsia" w:cstheme="minorBidi"/>
      <w:kern w:val="2"/>
      <w:sz w:val="18"/>
      <w:szCs w:val="18"/>
    </w:rPr>
  </w:style>
  <w:style w:type="character" w:customStyle="1" w:styleId="14">
    <w:name w:val="批注框文本 Char"/>
    <w:basedOn w:val="9"/>
    <w:link w:val="4"/>
    <w:qFormat/>
    <w:uiPriority w:val="0"/>
    <w:rPr>
      <w:rFonts w:asciiTheme="minorHAnsi" w:hAnsiTheme="minorHAnsi" w:eastAsiaTheme="minorEastAsia" w:cstheme="minorBidi"/>
      <w:kern w:val="2"/>
      <w:sz w:val="18"/>
      <w:szCs w:val="18"/>
    </w:rPr>
  </w:style>
  <w:style w:type="character" w:customStyle="1" w:styleId="15">
    <w:name w:val="正文文本 Char"/>
    <w:basedOn w:val="9"/>
    <w:link w:val="3"/>
    <w:qFormat/>
    <w:uiPriority w:val="0"/>
    <w:rPr>
      <w:kern w:val="2"/>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德宏州陇川县党政机关单位</Company>
  <Pages>1</Pages>
  <Words>754</Words>
  <Characters>4303</Characters>
  <Lines>35</Lines>
  <Paragraphs>10</Paragraphs>
  <TotalTime>9</TotalTime>
  <ScaleCrop>false</ScaleCrop>
  <LinksUpToDate>false</LinksUpToDate>
  <CharactersWithSpaces>5047</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2024-12-24T02:18:00Z</dcterms:created>
  <dc:creator>Lenovo</dc:creator>
  <cp:lastModifiedBy>陇川县市场监督管理局</cp:lastModifiedBy>
  <dcterms:modified xsi:type="dcterms:W3CDTF">2024-12-25T03:37:44Z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