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60" w:lineRule="exact"/>
        <w:ind w:left="0"/>
        <w:jc w:val="center"/>
        <w:rPr>
          <w:rFonts w:ascii="方正小标宋_GBK" w:eastAsia="方正小标宋_GBK"/>
          <w:sz w:val="44"/>
          <w:szCs w:val="44"/>
        </w:rPr>
      </w:pPr>
      <w:r>
        <w:rPr>
          <w:rFonts w:ascii="方正小标宋_GBK" w:eastAsia="方正小标宋_GBK" w:hint="eastAsia"/>
          <w:sz w:val="44"/>
          <w:szCs w:val="44"/>
        </w:rPr>
        <w:t>政策解读|</w:t>
      </w:r>
      <w:r>
        <w:rPr>
          <w:rFonts w:ascii="方正小标宋_GBK" w:eastAsia="方正小标宋_GBK"/>
          <w:sz w:val="44"/>
          <w:szCs w:val="44"/>
        </w:rPr>
        <w:t>知识产权海关保护</w:t>
      </w:r>
    </w:p>
    <w:p>
      <w:pPr>
        <w:spacing w:line="560" w:lineRule="exact"/>
        <w:ind w:left="0"/>
        <w:jc w:val="center"/>
        <w:rPr>
          <w:rFonts w:ascii="方正小标宋_GBK" w:eastAsia="方正小标宋_GBK" w:hint="eastAsia"/>
          <w:sz w:val="44"/>
          <w:szCs w:val="44"/>
        </w:rPr>
      </w:pPr>
    </w:p>
    <w:p>
      <w:pPr>
        <w:spacing w:line="560" w:lineRule="exact"/>
        <w:ind w:firstLineChars="200" w:firstLine="640"/>
        <w:rPr>
          <w:rFonts w:ascii="方正黑体_GBK" w:eastAsia="方正黑体_GBK" w:cs="Times New Roman" w:hint="eastAsia"/>
          <w:sz w:val="32"/>
          <w:szCs w:val="32"/>
        </w:rPr>
      </w:pPr>
      <w:r>
        <w:rPr>
          <w:rFonts w:ascii="方正黑体_GBK" w:eastAsia="方正黑体_GBK" w:cs="Times New Roman"/>
          <w:sz w:val="32"/>
          <w:szCs w:val="32"/>
        </w:rPr>
        <w:t>一、海关保护的知识产权有哪些</w:t>
      </w:r>
      <w:r>
        <w:rPr>
          <w:rFonts w:ascii="方正黑体_GBK" w:eastAsia="方正黑体_GBK" w:cs="Times New Roman" w:hint="eastAsia"/>
          <w:sz w:val="32"/>
          <w:szCs w:val="32"/>
        </w:rPr>
        <w:t>？</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海关保护的知识产权是指与进出口货物有关并受中华人民共和国法律、行政法规保护的商标专用权、著作权和与著作权有关的权利及专利权 。</w:t>
      </w:r>
    </w:p>
    <w:p>
      <w:pPr>
        <w:spacing w:line="560" w:lineRule="exact"/>
        <w:ind w:firstLineChars="200" w:firstLine="640"/>
        <w:rPr>
          <w:rFonts w:ascii="方正黑体_GBK" w:eastAsia="方正黑体_GBK" w:cs="Times New Roman" w:hint="eastAsia"/>
          <w:sz w:val="32"/>
          <w:szCs w:val="32"/>
        </w:rPr>
      </w:pPr>
      <w:r>
        <w:rPr>
          <w:rFonts w:ascii="方正黑体_GBK" w:eastAsia="方正黑体_GBK" w:cs="Times New Roman"/>
          <w:sz w:val="32"/>
          <w:szCs w:val="32"/>
        </w:rPr>
        <w:t>二、</w:t>
      </w:r>
      <w:r>
        <w:rPr>
          <w:rFonts w:ascii="方正黑体_GBK" w:eastAsia="方正黑体_GBK" w:cs="Times New Roman" w:hint="eastAsia"/>
          <w:sz w:val="32"/>
          <w:szCs w:val="32"/>
        </w:rPr>
        <w:t>知识产权海关保护工作的执法依据有哪些？</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执法依据主要有《中华人民共和国海关法》、《中华人民共和国知识产权法》、《中华人民共和国知识产权海关保护条例、《中华人民共和国海关关于</w:t>
      </w:r>
      <w:r>
        <w:rPr>
          <w:rFonts w:ascii="宋体" w:eastAsia="宋体" w:cs="Times New Roman" w:hint="eastAsia"/>
          <w:sz w:val="32"/>
          <w:szCs w:val="32"/>
        </w:rPr>
        <w:t>〈</w:t>
      </w:r>
      <w:r>
        <w:rPr>
          <w:rFonts w:ascii="Times New Roman" w:eastAsia="方正仿宋_GBK" w:cs="Times New Roman" w:hAnsi="Times New Roman"/>
          <w:sz w:val="32"/>
          <w:szCs w:val="32"/>
        </w:rPr>
        <w:t>中华人民共和国知识产权海关保护条例</w:t>
      </w:r>
      <w:r>
        <w:rPr>
          <w:rFonts w:ascii="宋体" w:eastAsia="宋体" w:cs="Times New Roman" w:hint="eastAsia"/>
          <w:sz w:val="32"/>
          <w:szCs w:val="32"/>
        </w:rPr>
        <w:t>〉</w:t>
      </w:r>
      <w:r>
        <w:rPr>
          <w:rFonts w:ascii="Times New Roman" w:eastAsia="方正仿宋_GBK" w:cs="Times New Roman" w:hAnsi="Times New Roman"/>
          <w:sz w:val="32"/>
          <w:szCs w:val="32"/>
        </w:rPr>
        <w:t>的实施办法》。</w:t>
      </w:r>
    </w:p>
    <w:p>
      <w:pPr>
        <w:spacing w:line="560" w:lineRule="exact"/>
        <w:ind w:firstLineChars="200" w:firstLine="640"/>
        <w:rPr>
          <w:rFonts w:ascii="方正黑体_GBK" w:eastAsia="方正黑体_GBK" w:cs="Times New Roman" w:hint="eastAsia"/>
          <w:sz w:val="32"/>
          <w:szCs w:val="32"/>
        </w:rPr>
      </w:pPr>
      <w:r>
        <w:rPr>
          <w:rFonts w:ascii="方正黑体_GBK" w:eastAsia="方正黑体_GBK" w:cs="Times New Roman"/>
          <w:sz w:val="32"/>
          <w:szCs w:val="32"/>
        </w:rPr>
        <w:t>三、哪些情形可以启动知识产权海关保护</w:t>
      </w:r>
      <w:r>
        <w:rPr>
          <w:rFonts w:ascii="方正黑体_GBK" w:eastAsia="方正黑体_GBK" w:cs="Times New Roman" w:hint="eastAsia"/>
          <w:sz w:val="32"/>
          <w:szCs w:val="32"/>
        </w:rPr>
        <w:t>？</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第一种情形：依申请启动</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知识产权权利人发现进出口货物有侵犯自己知识产权（无论是否备案）嫌疑的可以向海关申请启动保护。</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第二种情形：依职权启动</w:t>
      </w:r>
    </w:p>
    <w:p>
      <w:pPr>
        <w:spacing w:line="560" w:lineRule="exact"/>
        <w:ind w:firstLineChars="200" w:firstLine="640"/>
        <w:rPr>
          <w:rFonts w:ascii="方正黑体_GBK" w:eastAsia="方正黑体_GBK" w:cs="Times New Roman"/>
          <w:sz w:val="32"/>
          <w:szCs w:val="32"/>
        </w:rPr>
      </w:pPr>
      <w:r>
        <w:rPr>
          <w:rFonts w:ascii="Times New Roman" w:eastAsia="方正仿宋_GBK" w:cs="Times New Roman" w:hAnsi="Times New Roman"/>
          <w:sz w:val="32"/>
          <w:szCs w:val="32"/>
        </w:rPr>
        <w:t>海关发现进出口货物有侵犯备案知识产权嫌疑的，书面通知知识产权权利人，权利人申请扣留的，启动保护。</w:t>
      </w:r>
    </w:p>
    <w:p>
      <w:pPr>
        <w:spacing w:line="560" w:lineRule="exact"/>
        <w:ind w:firstLineChars="200" w:firstLine="640"/>
        <w:rPr>
          <w:rFonts w:ascii="方正黑体_GBK" w:eastAsia="方正黑体_GBK" w:cs="Times New Roman"/>
          <w:sz w:val="32"/>
          <w:szCs w:val="32"/>
        </w:rPr>
      </w:pPr>
      <w:r>
        <w:rPr>
          <w:rFonts w:ascii="方正黑体_GBK" w:eastAsia="方正黑体_GBK" w:cs="Times New Roman"/>
          <w:sz w:val="32"/>
          <w:szCs w:val="32"/>
        </w:rPr>
        <w:br w:type="page"/>
        <w:t>四、依申请保护的流程是什么</w:t>
      </w:r>
      <w:r>
        <w:rPr>
          <w:rFonts w:ascii="方正黑体_GBK" w:eastAsia="方正黑体_GBK" w:cs="Times New Roman" w:hint="eastAsia"/>
          <w:sz w:val="32"/>
          <w:szCs w:val="32"/>
        </w:rPr>
        <w:t>？</w:t>
      </w:r>
    </w:p>
    <w:p>
      <w:pPr>
        <w:spacing w:line="560" w:lineRule="exact"/>
        <w:ind w:firstLineChars="200" w:firstLine="640"/>
        <w:rPr>
          <w:rFonts w:ascii="Times New Roman" w:eastAsia="方正仿宋_GBK" w:cs="Times New Roman" w:hAnsi="Times New Roman"/>
          <w:sz w:val="32"/>
          <w:szCs w:val="32"/>
        </w:rPr>
      </w:pPr>
    </w:p>
    <w:p>
      <w:pPr>
        <w:spacing w:line="560" w:lineRule="exact"/>
        <w:ind w:firstLineChars="200" w:firstLine="640"/>
        <w:rPr>
          <w:rFonts w:ascii="方正黑体_GBK" w:eastAsia="方正黑体_GBK" w:cs="Times New Roman"/>
          <w:sz w:val="32"/>
          <w:szCs w:val="32"/>
        </w:rPr>
      </w:pPr>
      <w:r>
        <w:rPr>
          <w:rFonts w:ascii="Times New Roman" w:eastAsia="方正仿宋_GBK" w:cs="Times New Roman" w:hAnsi="Times New Roman"/>
          <w:sz w:val="32"/>
          <w:szCs w:val="32"/>
        </w:rPr>
        <w:pict>
          <v:group type="#_x0000_t75" id="对象 1" o:spid="_x0000_s1" editas="canvas" coordorigin="1480,2749" coordsize="8929,11326" style="position:absolute;margin-left:-15.993653pt;margin-top:9.456338pt;width:446.49377pt;height:566.3437pt;z-index:13;mso-position-horizontal:absolute;mso-position-vertical:absolute;mso-wrap-distance-left:6.749897pt;mso-wrap-distance-right:6.749897pt;">
            <v:shape id="_x0000_s2" type="#_x0000_t75" style="position:absolute;left:1480;top:2749;width:8929;height:11326" filled="f" stroked="f">
              <v:stroke color="#000000"/>
            </v:shape>
            <v:shape type="#_x0000_t2" id="圆角矩形 3" o:spid="_x0000_s3" style="position:absolute;left:5264;top:2749;width:2204;height:929;mso-wrap-style:square;" fillcolor="#D7E3BC" stroked="t">
              <v:textbox id="848" inset="2.54mm,1.27mm,2.54mm,1.27mm" o:insetmode="custom" style="layout-flow:horizontal;v-text-anchor:top;">
                <w:txbxContent>
                  <w:p>
                    <w:pPr>
                      <w:jc w:val="center"/>
                    </w:pPr>
                    <w:r>
                      <w:t>权利人发现侵权嫌疑货物</w:t>
                    </w:r>
                  </w:p>
                </w:txbxContent>
              </v:textbox>
              <v:stroke color="#000000"/>
            </v:shape>
            <v:shape type="#_x0000_t2" id="圆角矩形 4" o:spid="_x0000_s4" style="position:absolute;left:5262;top:4306;width:2204;height:929;mso-wrap-style:square;" fillcolor="#D7E3BC" stroked="t">
              <v:textbox id="849" inset="2.54mm,1.27mm,2.54mm,1.27mm" o:insetmode="custom" style="layout-flow:horizontal;v-text-anchor:top;">
                <w:txbxContent>
                  <w:p>
                    <w:pPr>
                      <w:jc w:val="center"/>
                    </w:pPr>
                    <w:r>
                      <w:t>向货物进出境地海关提出扣留申请</w:t>
                    </w:r>
                  </w:p>
                </w:txbxContent>
              </v:textbox>
              <v:stroke color="#000000"/>
            </v:shape>
            <v:shape type="#_x0000_t2" id="圆角矩形 5" o:spid="_x0000_s5" style="position:absolute;left:1800;top:6181;width:3884;height:1407;mso-wrap-style:square;" fillcolor="#D7E3BC" stroked="t">
              <v:textbox id="850" inset="2.54mm,1.27mm,2.54mm,1.27mm" o:insetmode="custom" style="layout-flow:horizontal;v-text-anchor:top;">
                <w:txbxContent>
                  <w:p>
                    <w:pPr>
                      <w:jc w:val="center"/>
                    </w:pPr>
                    <w:r>
                      <w:t>书面申请书</w:t>
                    </w:r>
                  </w:p>
                  <w:p>
                    <w:pPr>
                      <w:jc w:val="center"/>
                    </w:pPr>
                    <w:r>
                      <w:t>证明材料</w:t>
                    </w:r>
                  </w:p>
                  <w:p>
                    <w:pPr>
                      <w:jc w:val="center"/>
                    </w:pPr>
                    <w:r>
                      <w:t>足以证明侵权事实明显存在的证据</w:t>
                    </w:r>
                  </w:p>
                </w:txbxContent>
              </v:textbox>
              <v:stroke color="#000000"/>
            </v:shape>
            <v:shape type="#_x0000_t2" id="圆角矩形 6" o:spid="_x0000_s6" style="position:absolute;left:7365;top:6436;width:2205;height:929;mso-wrap-style:square;" fillcolor="#D7E3BC" stroked="t">
              <v:textbox id="851" inset="2.54mm,1.27mm,2.54mm,1.27mm" o:insetmode="custom" style="layout-flow:horizontal;v-text-anchor:top;">
                <w:txbxContent>
                  <w:p>
                    <w:pPr>
                      <w:jc w:val="center"/>
                    </w:pPr>
                    <w:r>
                      <w:t>提供货物等值担保</w:t>
                    </w:r>
                  </w:p>
                </w:txbxContent>
              </v:textbox>
              <v:stroke color="#000000"/>
            </v:shape>
            <v:shape type="#_x0000_t2" id="圆角矩形 7" o:spid="_x0000_s7" style="position:absolute;left:2427;top:8457;width:2522;height:929;mso-wrap-style:square;" fillcolor="#D7E3BC" stroked="t">
              <v:textbox id="852" inset="2.54mm,1.27mm,2.54mm,1.27mm" o:insetmode="custom" style="layout-flow:horizontal;v-text-anchor:top;">
                <w:txbxContent>
                  <w:p>
                    <w:pPr>
                      <w:jc w:val="center"/>
                    </w:pPr>
                    <w:r>
                      <w:t>材料齐全并提供担保</w:t>
                    </w:r>
                  </w:p>
                </w:txbxContent>
              </v:textbox>
              <v:stroke color="#000000"/>
            </v:shape>
            <v:shape type="#_x0000_t2" id="圆角矩形 8" o:spid="_x0000_s8" style="position:absolute;left:2635;top:10330;width:2204;height:929;mso-wrap-style:square;" fillcolor="#D7E3BC" stroked="t">
              <v:textbox id="853" inset="2.54mm,1.27mm,2.54mm,1.27mm" o:insetmode="custom" style="layout-flow:horizontal;v-text-anchor:top;">
                <w:txbxContent>
                  <w:p>
                    <w:pPr>
                      <w:jc w:val="center"/>
                    </w:pPr>
                    <w:r>
                      <w:t>海关实施扣留</w:t>
                    </w:r>
                  </w:p>
                </w:txbxContent>
              </v:textbox>
              <v:stroke color="#000000"/>
            </v:shape>
            <v:shape type="#_x0000_t2" id="圆角矩形 9" o:spid="_x0000_s9" style="position:absolute;left:7152;top:8457;width:2522;height:929;mso-wrap-style:square;" fillcolor="#D7E3BC" stroked="t">
              <v:textbox id="854" inset="2.54mm,1.27mm,2.54mm,1.27mm" o:insetmode="custom" style="layout-flow:horizontal;v-text-anchor:top;">
                <w:txbxContent>
                  <w:p>
                    <w:pPr>
                      <w:jc w:val="center"/>
                    </w:pPr>
                    <w:r>
                      <w:t>材料不齐全或未提供担保</w:t>
                    </w:r>
                  </w:p>
                </w:txbxContent>
              </v:textbox>
              <v:stroke color="#000000"/>
            </v:shape>
            <v:shape type="#_x0000_t2" id="圆角矩形 10" o:spid="_x0000_s10" style="position:absolute;left:7257;top:10332;width:2204;height:929;mso-wrap-style:square;" fillcolor="#D7E3BC" stroked="t">
              <v:textbox id="855" inset="2.54mm,1.27mm,2.54mm,1.27mm" o:insetmode="custom" style="layout-flow:horizontal;v-text-anchor:top;">
                <w:txbxContent>
                  <w:p>
                    <w:pPr>
                      <w:jc w:val="center"/>
                    </w:pPr>
                    <w:r>
                      <w:t>海关驳回申请并书面通知权利人</w:t>
                    </w:r>
                  </w:p>
                </w:txbxContent>
              </v:textbox>
              <v:stroke color="#000000"/>
            </v:shape>
            <v:shape type="#_x0000_t32" id="直线连接线 11" o:spid="_x0000_s11" style="position:absolute;left:5685;top:6835;width:1680;height:0;" filled="f" stroked="t">
              <v:stroke color="#000000"/>
            </v:shape>
            <v:line type="#_x0000_t20" id="直线 12" o:spid="_x0000_s12" style="position:absolute;" from="4950.9355,9021.215" to="7156.3677,9021.215" filled="f" stroked="t">
              <v:stroke color="#000000" startarrow="block" endarrow="block"/>
            </v:line>
            <v:line type="#_x0000_t20" id="直线 13" o:spid="_x0000_s13" style="position:absolute;" from="6316.203,3716.4033" to="6316.203,4340.4995" filled="f" stroked="t">
              <v:stroke color="#000000" endarrow="block"/>
            </v:line>
            <v:line type="#_x0000_t20" id="直线 14" o:spid="_x0000_s14" style="position:absolute;" from="6316.203,5276.645" to="6316.203,6836.8853" filled="f" stroked="t">
              <v:stroke color="#000000" endarrow="block"/>
            </v:line>
            <v:line type="#_x0000_t20" id="直线 15" o:spid="_x0000_s15" style="position:absolute;" from="6316.203,6836.88" to="6316.203,9021.216" filled="f" stroked="t">
              <v:stroke color="#000000" endarrow="block"/>
            </v:line>
            <v:line type="#_x0000_t20" id="直线 16" o:spid="_x0000_s16" style="position:absolute;" from="8416.615,9483.283" to="8416.615,10419.428" filled="f" stroked="t">
              <v:stroke color="#000000" endarrow="block"/>
            </v:line>
            <v:line type="#_x0000_t20" id="直线 17" o:spid="_x0000_s17" style="position:absolute;" from="3585.3335,9396.64" to="3585.3335,10332.713" filled="f" stroked="t">
              <v:stroke color="#000000" endarrow="block"/>
            </v:line>
            <v:line type="#_x0000_t20" id="直线 18" o:spid="_x0000_s18" style="position:absolute;" from="3585.3335,11268.784" to="3585.3335,12048.844" filled="f" stroked="t">
              <v:stroke color="#000000" endarrow="block"/>
            </v:line>
            <v:shape type="#_x0000_t2" id="圆角矩形 19" o:spid="_x0000_s19" style="position:absolute;left:2637;top:12042;width:2204;height:929;mso-wrap-style:square;" fillcolor="#D7E3BC" stroked="t">
              <v:textbox id="866" inset="2.54mm,1.27mm,2.54mm,1.27mm" o:insetmode="custom" style="layout-flow:horizontal;v-text-anchor:top;">
                <w:txbxContent>
                  <w:p>
                    <w:pPr>
                      <w:jc w:val="center"/>
                    </w:pPr>
                    <w:r>
                      <w:t>双方通过司法途径解决争议</w:t>
                    </w:r>
                  </w:p>
                </w:txbxContent>
              </v:textbox>
              <v:stroke color="#000000"/>
            </v:shape>
            <o:lock aspectratio="t"/>
          </v:group>
        </w:pict>
      </w:r>
    </w:p>
    <w:p>
      <w:pPr>
        <w:spacing w:line="560" w:lineRule="exact"/>
        <w:ind w:firstLineChars="200" w:firstLine="640"/>
        <w:rPr>
          <w:rFonts w:ascii="方正黑体_GBK" w:eastAsia="方正黑体_GBK" w:cs="Times New Roman"/>
          <w:sz w:val="32"/>
          <w:szCs w:val="32"/>
        </w:rPr>
      </w:pPr>
    </w:p>
    <w:p>
      <w:pPr>
        <w:spacing w:line="560" w:lineRule="exact"/>
        <w:ind w:firstLineChars="200" w:firstLine="640"/>
        <w:rPr>
          <w:rFonts w:ascii="方正黑体_GBK" w:eastAsia="方正黑体_GBK" w:cs="Times New Roman"/>
          <w:sz w:val="32"/>
          <w:szCs w:val="32"/>
        </w:rPr>
      </w:pPr>
    </w:p>
    <w:p>
      <w:pPr>
        <w:spacing w:line="560" w:lineRule="exact"/>
        <w:ind w:firstLineChars="200" w:firstLine="640"/>
        <w:rPr>
          <w:rFonts w:ascii="方正黑体_GBK" w:eastAsia="方正黑体_GBK" w:cs="Times New Roman"/>
          <w:sz w:val="32"/>
          <w:szCs w:val="32"/>
        </w:rPr>
      </w:pPr>
    </w:p>
    <w:p>
      <w:pPr>
        <w:spacing w:line="560" w:lineRule="exact"/>
        <w:ind w:firstLineChars="200" w:firstLine="640"/>
        <w:rPr>
          <w:rFonts w:ascii="方正黑体_GBK" w:eastAsia="方正黑体_GBK" w:cs="Times New Roman"/>
          <w:sz w:val="32"/>
          <w:szCs w:val="32"/>
        </w:rPr>
      </w:pPr>
    </w:p>
    <w:p>
      <w:pPr>
        <w:spacing w:line="560" w:lineRule="exact"/>
        <w:ind w:firstLineChars="200" w:firstLine="640"/>
        <w:rPr>
          <w:rFonts w:ascii="方正黑体_GBK" w:eastAsia="方正黑体_GBK" w:cs="Times New Roman"/>
          <w:sz w:val="32"/>
          <w:szCs w:val="32"/>
        </w:rPr>
      </w:pPr>
    </w:p>
    <w:p>
      <w:pPr>
        <w:spacing w:line="560" w:lineRule="exact"/>
        <w:ind w:firstLineChars="200" w:firstLine="640"/>
        <w:rPr>
          <w:rFonts w:ascii="方正黑体_GBK" w:eastAsia="方正黑体_GBK" w:cs="Times New Roman"/>
          <w:sz w:val="32"/>
          <w:szCs w:val="32"/>
        </w:rPr>
      </w:pPr>
    </w:p>
    <w:p>
      <w:pPr>
        <w:spacing w:line="560" w:lineRule="exact"/>
        <w:ind w:firstLineChars="200" w:firstLine="640"/>
        <w:rPr>
          <w:rFonts w:ascii="方正黑体_GBK" w:eastAsia="方正黑体_GBK" w:cs="Times New Roman"/>
          <w:sz w:val="32"/>
          <w:szCs w:val="32"/>
        </w:rPr>
      </w:pPr>
    </w:p>
    <w:p>
      <w:pPr>
        <w:spacing w:line="560" w:lineRule="exact"/>
        <w:ind w:firstLineChars="200" w:firstLine="640"/>
        <w:rPr>
          <w:rFonts w:ascii="方正黑体_GBK" w:eastAsia="方正黑体_GBK" w:cs="Times New Roman"/>
          <w:sz w:val="32"/>
          <w:szCs w:val="32"/>
        </w:rPr>
      </w:pPr>
    </w:p>
    <w:p>
      <w:pPr>
        <w:spacing w:line="560" w:lineRule="exact"/>
        <w:ind w:firstLineChars="200" w:firstLine="640"/>
        <w:rPr>
          <w:rFonts w:ascii="方正黑体_GBK" w:eastAsia="方正黑体_GBK" w:cs="Times New Roman"/>
          <w:sz w:val="32"/>
          <w:szCs w:val="32"/>
        </w:rPr>
      </w:pPr>
    </w:p>
    <w:p>
      <w:pPr>
        <w:spacing w:line="560" w:lineRule="exact"/>
        <w:ind w:left="0" w:firstLineChars="200" w:firstLine="640"/>
        <w:rPr>
          <w:rFonts w:ascii="方正黑体_GBK" w:eastAsia="方正黑体_GBK" w:cs="Times New Roman"/>
          <w:sz w:val="32"/>
          <w:szCs w:val="32"/>
        </w:rPr>
      </w:pPr>
      <w:r>
        <w:rPr>
          <w:rFonts w:ascii="方正黑体_GBK" w:eastAsia="方正黑体_GBK" w:cs="Times New Roman"/>
          <w:sz w:val="32"/>
          <w:szCs w:val="32"/>
        </w:rPr>
        <w:br w:type="page"/>
        <w:t>五、依职权保护的流程是什么</w:t>
      </w:r>
      <w:r>
        <w:rPr>
          <w:rFonts w:ascii="方正黑体_GBK" w:eastAsia="方正黑体_GBK" w:cs="Times New Roman" w:hint="eastAsia"/>
          <w:sz w:val="32"/>
          <w:szCs w:val="32"/>
        </w:rPr>
        <w:t>？</w:t>
      </w:r>
    </w:p>
    <w:p>
      <w:pPr>
        <w:spacing w:line="560" w:lineRule="exact"/>
        <w:ind w:left="0" w:firstLineChars="200" w:firstLine="640"/>
        <w:rPr>
          <w:rFonts w:ascii="方正黑体_GBK" w:eastAsia="方正黑体_GBK" w:cs="Times New Roman" w:hint="eastAsia"/>
          <w:sz w:val="32"/>
          <w:szCs w:val="32"/>
        </w:rPr>
      </w:pPr>
      <w:r>
        <w:rPr>
          <w:rFonts w:ascii="方正黑体_GBK" w:eastAsia="方正黑体_GBK" w:cs="Times New Roman" w:hint="eastAsia"/>
          <w:sz w:val="32"/>
          <w:szCs w:val="32"/>
        </w:rPr>
        <w:pict>
          <v:group type="#_x0000_t75" id="对象 20" o:spid="_x0000_s20" editas="canvas" coordorigin="1585,2381" coordsize="8719,4983" style="position:absolute;margin-left:-10.7493515pt;margin-top:19.063072pt;width:435.9995pt;height:249.18004pt;z-index:14;mso-position-horizontal:absolute;mso-position-vertical:absolute;mso-wrap-distance-left:6.749897pt;mso-wrap-distance-right:6.749897pt;">
            <v:shape id="_x0000_s21" type="#_x0000_t75" style="position:absolute;left:1585;top:2381;width:8719;height:4983" filled="f" stroked="f">
              <v:stroke color="#000000"/>
            </v:shape>
            <o:lock aspectratio="t"/>
          </v:group>
        </w:pict>
      </w:r>
    </w:p>
    <w:p>
      <w:pPr>
        <w:spacing w:line="560" w:lineRule="exact"/>
        <w:ind w:firstLineChars="200" w:firstLine="640"/>
        <w:rPr>
          <w:rFonts w:ascii="方正黑体_GBK" w:eastAsia="方正黑体_GBK" w:cs="Times New Roman"/>
          <w:sz w:val="32"/>
          <w:szCs w:val="32"/>
        </w:rPr>
      </w:pPr>
      <w:r>
        <w:rPr>
          <w:rFonts w:ascii="Times New Roman" w:eastAsia="方正仿宋_GBK" w:cs="Times New Roman" w:hAnsi="Times New Roman"/>
          <w:sz w:val="32"/>
          <w:szCs w:val="32"/>
        </w:rPr>
        <w:pict>
          <v:group type="#_x0000_t75" id="对象 22" o:spid="_x0000_s22" editas="canvas" coordorigin="1630,2899" coordsize="8929,11326" style="position:absolute;margin-left:-8.493767pt;margin-top:16.956224pt;width:446.49377pt;height:566.3437pt;z-index:15;mso-position-horizontal:absolute;mso-position-vertical:absolute;mso-wrap-distance-left:6.749897pt;mso-wrap-distance-right:6.749897pt;">
            <v:shape id="_x0000_s23" type="#_x0000_t75" style="position:absolute;left:1630;top:2899;width:8929;height:11326" filled="f" stroked="f">
              <v:stroke color="#000000"/>
            </v:shape>
            <v:shape type="#_x0000_t2" id="圆角矩形 24" o:spid="_x0000_s24" style="position:absolute;left:5414;top:2899;width:2204;height:929;mso-wrap-style:square;" fillcolor="#D7E3BC" stroked="t">
              <v:textbox id="857" inset="2.54mm,1.27mm,2.54mm,1.27mm" o:insetmode="custom" style="layout-flow:horizontal;v-text-anchor:top;">
                <w:txbxContent>
                  <w:p>
                    <w:pPr>
                      <w:jc w:val="center"/>
                    </w:pPr>
                    <w:r>
                      <w:t>海关发现侵犯备案知识产权的嫌疑货物</w:t>
                    </w:r>
                  </w:p>
                </w:txbxContent>
              </v:textbox>
              <v:stroke color="#000000"/>
            </v:shape>
            <v:shape type="#_x0000_t2" id="圆角矩形 25" o:spid="_x0000_s25" style="position:absolute;left:5412;top:4456;width:2204;height:929;mso-wrap-style:square;" fillcolor="#D7E3BC" stroked="t">
              <v:textbox id="858" inset="2.54mm,1.27mm,2.54mm,1.27mm" o:insetmode="custom" style="layout-flow:horizontal;v-text-anchor:top;">
                <w:txbxContent>
                  <w:p>
                    <w:pPr>
                      <w:jc w:val="center"/>
                    </w:pPr>
                    <w:r>
                      <w:t>书面通知知识产权权利人</w:t>
                    </w:r>
                  </w:p>
                </w:txbxContent>
              </v:textbox>
              <v:stroke color="#000000"/>
            </v:shape>
            <v:shape type="#_x0000_t2" id="圆角矩形 26" o:spid="_x0000_s26" style="position:absolute;left:1949;top:6331;width:3884;height:1407;mso-wrap-style:square;" fillcolor="#D7E3BC" stroked="t">
              <v:textbox id="859" inset="2.54mm,1.27mm,2.54mm,1.27mm" o:insetmode="custom" style="layout-flow:horizontal;v-text-anchor:top;">
                <w:txbxContent>
                  <w:p>
                    <w:r>
                      <w:t>权利人3个工作日内提出扣留申请并</w:t>
                    </w:r>
                  </w:p>
                  <w:p>
                    <w:r>
                      <w:t>提供不超过货物价值的担保（最高10万）</w:t>
                    </w:r>
                  </w:p>
                </w:txbxContent>
              </v:textbox>
              <v:stroke color="#000000"/>
            </v:shape>
            <v:shape type="#_x0000_t2" id="圆角矩形 27" o:spid="_x0000_s27" style="position:absolute;left:7365;top:6586;width:2205;height:929;mso-wrap-style:square;" fillcolor="#D7E3BC" stroked="t">
              <v:textbox id="860" inset="2.54mm,1.27mm,2.54mm,1.27mm" o:insetmode="custom" style="layout-flow:horizontal;v-text-anchor:top;">
                <w:txbxContent>
                  <w:p>
                    <w:pPr>
                      <w:jc w:val="center"/>
                    </w:pPr>
                    <w:r>
                      <w:t>权利人未提出申请或未提供担保</w:t>
                    </w:r>
                  </w:p>
                </w:txbxContent>
              </v:textbox>
              <v:stroke color="#000000"/>
            </v:shape>
            <v:shape type="#_x0000_t2" id="圆角矩形 28" o:spid="_x0000_s28" style="position:absolute;left:2635;top:8620;width:2204;height:929;mso-wrap-style:square;" fillcolor="#D7E3BC" stroked="t">
              <v:textbox id="861" inset="2.54mm,1.27mm,2.54mm,1.27mm" o:insetmode="custom" style="layout-flow:horizontal;v-text-anchor:top;">
                <w:txbxContent>
                  <w:p>
                    <w:pPr>
                      <w:jc w:val="center"/>
                    </w:pPr>
                    <w:r>
                      <w:t>海关实施扣留</w:t>
                    </w:r>
                  </w:p>
                </w:txbxContent>
              </v:textbox>
              <v:stroke color="#000000"/>
            </v:shape>
            <v:shape type="#_x0000_t2" id="圆角矩形 29" o:spid="_x0000_s29" style="position:absolute;left:7362;top:8622;width:2204;height:929;mso-wrap-style:square;" fillcolor="#D7E3BC" stroked="t">
              <v:textbox id="862" inset="2.54mm,1.27mm,2.54mm,1.27mm" o:insetmode="custom" style="layout-flow:horizontal;v-text-anchor:top;">
                <w:txbxContent>
                  <w:p>
                    <w:pPr>
                      <w:jc w:val="center"/>
                    </w:pPr>
                    <w:r>
                      <w:t>海关放行货物</w:t>
                    </w:r>
                  </w:p>
                </w:txbxContent>
              </v:textbox>
              <v:stroke color="#000000"/>
            </v:shape>
            <v:line type="#_x0000_t20" id="直线 30" o:spid="_x0000_s30" style="position:absolute;" from="6466.1943,3866.3967" to="6466.1943,4490.4927" filled="f" stroked="t">
              <v:stroke color="#000000" endarrow="block"/>
            </v:line>
            <v:line type="#_x0000_t20" id="直线 31" o:spid="_x0000_s31" style="position:absolute;flip:x;" from="4005.3574,5340.313" to="6420.5947,6276.3857" filled="f" stroked="t">
              <v:stroke color="#000000" endarrow="block"/>
            </v:line>
            <v:line type="#_x0000_t20" id="直线 32" o:spid="_x0000_s32" style="position:absolute;" from="6420.5947,5340.313" to="8625.811,6588.409" filled="f" stroked="t">
              <v:stroke color="#000000" endarrow="block"/>
            </v:line>
            <v:line type="#_x0000_t20" id="直线 33" o:spid="_x0000_s33" style="position:absolute;" from="3690.3267,7680.4937" to="3690.3267,8616.566" filled="f" stroked="t">
              <v:stroke color="#000000" endarrow="block"/>
            </v:line>
            <v:line type="#_x0000_t20" id="直线 34" o:spid="_x0000_s34" style="position:absolute;" from="8415.789,7524.4814" to="8415.789,8616.565" filled="f" stroked="t">
              <v:stroke color="#000000" endarrow="block"/>
            </v:line>
            <v:shape type="#_x0000_t2" id="圆角矩形 35" o:spid="_x0000_s35" style="position:absolute;left:2637;top:10332;width:2204;height:929;mso-wrap-style:square;" fillcolor="#D7E3BC" stroked="t">
              <v:textbox id="864" inset="2.54mm,1.27mm,2.54mm,1.27mm" o:insetmode="custom" style="layout-flow:horizontal;v-text-anchor:top;">
                <w:txbxContent>
                  <w:p>
                    <w:pPr>
                      <w:jc w:val="center"/>
                    </w:pPr>
                    <w:r>
                      <w:t>海关进行调查、审理</w:t>
                    </w:r>
                  </w:p>
                </w:txbxContent>
              </v:textbox>
              <v:stroke color="#000000"/>
            </v:shape>
            <v:shape type="#_x0000_t2" id="圆角矩形 36" o:spid="_x0000_s36" style="position:absolute;left:2636;top:12041;width:2204;height:929;mso-wrap-style:square;" fillcolor="#D7E3BC" stroked="t">
              <v:textbox id="865" inset="2.54mm,1.27mm,2.54mm,1.27mm" o:insetmode="custom" style="layout-flow:horizontal;v-text-anchor:top;">
                <w:txbxContent>
                  <w:p>
                    <w:pPr>
                      <w:jc w:val="center"/>
                    </w:pPr>
                    <w:r>
                      <w:t>海关作出处罚决定</w:t>
                    </w:r>
                  </w:p>
                </w:txbxContent>
              </v:textbox>
              <v:stroke color="#000000"/>
            </v:shape>
            <v:line type="#_x0000_t20" id="直线 37" o:spid="_x0000_s37" style="position:absolute;" from="3690.0,9552.001" to="3690.0,10332.001" filled="f" stroked="t">
              <v:stroke color="#000000" endarrow="block"/>
            </v:line>
            <v:line type="#_x0000_t20" id="直线 38" o:spid="_x0000_s38" style="position:absolute;" from="3690.0,11268.0" to="3690.0,12048.0" filled="f" stroked="t">
              <v:stroke color="#000000" endarrow="block"/>
            </v:line>
            <o:lock aspectratio="t"/>
          </v:group>
        </w:pict>
      </w:r>
      <w:r>
        <w:rPr>
          <w:rFonts w:ascii="Times New Roman" w:eastAsia="方正仿宋_GBK" w:cs="Times New Roman" w:hAnsi="Times New Roman"/>
          <w:sz w:val="32"/>
          <w:szCs w:val="32"/>
        </w:rPr>
        <w:br w:type="page"/>
      </w:r>
      <w:r>
        <w:rPr>
          <w:rFonts w:ascii="方正黑体_GBK" w:eastAsia="方正黑体_GBK" w:cs="Times New Roman"/>
          <w:sz w:val="32"/>
          <w:szCs w:val="32"/>
        </w:rPr>
        <w:t>六、进出口货物侵犯知识产权将会承担哪些责任</w:t>
      </w:r>
      <w:r>
        <w:rPr>
          <w:rFonts w:ascii="方正黑体_GBK" w:eastAsia="方正黑体_GBK" w:cs="Times New Roman" w:hint="eastAsia"/>
          <w:sz w:val="32"/>
          <w:szCs w:val="32"/>
        </w:rPr>
        <w:t>？</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（一）行政责任</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被扣留的侵权嫌疑货物，经海关调查认定构成侵权的，由海关予以没收并对进出口企业处以货物价值30%以下的罚款。</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温馨提示：边民互市渠道及行邮渠道侵权行为也参照上述处罚标准进行处罚。</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（二）刑事责任</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进出口货物侵犯知识产权的行为构成刑事犯罪的，海关移送公安部门，依法追究刑事责任。</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（三）民事责任</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知识产权权利人可以依法对进出口企业进出口侵权货物的行为提起民事诉讼，要求承担民事侵权责任。</w:t>
      </w:r>
    </w:p>
    <w:p>
      <w:pPr>
        <w:spacing w:line="560" w:lineRule="exact"/>
        <w:ind w:firstLineChars="200" w:firstLine="640"/>
        <w:rPr>
          <w:rFonts w:ascii="方正黑体_GBK" w:eastAsia="方正黑体_GBK" w:cs="Times New Roman" w:hint="eastAsia"/>
          <w:sz w:val="32"/>
          <w:szCs w:val="32"/>
        </w:rPr>
      </w:pPr>
      <w:r>
        <w:rPr>
          <w:rFonts w:ascii="方正黑体_GBK" w:eastAsia="方正黑体_GBK" w:cs="Times New Roman"/>
          <w:sz w:val="32"/>
          <w:szCs w:val="32"/>
        </w:rPr>
        <w:t>七、被海关没收的侵权货物会怎么处置？</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（一）捐赠</w:t>
      </w:r>
      <w:r>
        <w:rPr>
          <w:rFonts w:ascii="Times New Roman" w:eastAsia="方正仿宋_GBK" w:cs="Times New Roman" w:hAnsi="Times New Roman" w:hint="eastAsia"/>
          <w:sz w:val="32"/>
          <w:szCs w:val="32"/>
        </w:rPr>
        <w:t>——</w:t>
      </w:r>
      <w:r>
        <w:rPr>
          <w:rFonts w:ascii="Times New Roman" w:eastAsia="方正仿宋_GBK" w:cs="Times New Roman" w:hAnsi="Times New Roman"/>
          <w:sz w:val="32"/>
          <w:szCs w:val="32"/>
        </w:rPr>
        <w:t>消除侵权特征后直接用于公益事业；</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（二）有偿转让给权利人</w:t>
      </w:r>
      <w:r>
        <w:rPr>
          <w:rFonts w:ascii="Times New Roman" w:eastAsia="方正仿宋_GBK" w:cs="Times New Roman" w:hAnsi="Times New Roman" w:hint="eastAsia"/>
          <w:sz w:val="32"/>
          <w:szCs w:val="32"/>
        </w:rPr>
        <w:t>——</w:t>
      </w:r>
      <w:r>
        <w:rPr>
          <w:rFonts w:ascii="Times New Roman" w:eastAsia="方正仿宋_GBK" w:cs="Times New Roman" w:hAnsi="Times New Roman"/>
          <w:sz w:val="32"/>
          <w:szCs w:val="32"/>
        </w:rPr>
        <w:t>权利人有收购意愿的，消除侵权特征后有偿转让给权利人；</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（三）拍卖</w:t>
      </w:r>
      <w:r>
        <w:rPr>
          <w:rFonts w:ascii="Times New Roman" w:eastAsia="方正仿宋_GBK" w:cs="Times New Roman" w:hAnsi="Times New Roman" w:hint="eastAsia"/>
          <w:sz w:val="32"/>
          <w:szCs w:val="32"/>
        </w:rPr>
        <w:t>——</w:t>
      </w:r>
      <w:r>
        <w:rPr>
          <w:rFonts w:ascii="Times New Roman" w:eastAsia="方正仿宋_GBK" w:cs="Times New Roman" w:hAnsi="Times New Roman"/>
          <w:sz w:val="32"/>
          <w:szCs w:val="32"/>
        </w:rPr>
        <w:t>消除侵权特征后依法拍卖，拍卖款项上交国库；</w:t>
      </w:r>
    </w:p>
    <w:p>
      <w:pPr>
        <w:spacing w:line="560" w:lineRule="exact"/>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sz w:val="32"/>
          <w:szCs w:val="32"/>
        </w:rPr>
        <w:t>（四）销毁</w:t>
      </w:r>
      <w:r>
        <w:rPr>
          <w:rFonts w:ascii="Times New Roman" w:eastAsia="方正仿宋_GBK" w:cs="Times New Roman" w:hAnsi="Times New Roman" w:hint="eastAsia"/>
          <w:sz w:val="32"/>
          <w:szCs w:val="32"/>
        </w:rPr>
        <w:t>——不能按上述方式处置的，予以销毁。</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侵权货物处置按上述方法依次选择</w:t>
      </w:r>
      <w:r>
        <w:rPr>
          <w:rFonts w:ascii="Times New Roman" w:eastAsia="方正仿宋_GBK" w:cs="Times New Roman" w:hAnsi="Times New Roman"/>
          <w:sz w:val="32"/>
          <w:szCs w:val="32"/>
        </w:rPr>
        <w:t>适用合适方式进行处置。</w:t>
      </w:r>
    </w:p>
    <w:p>
      <w:pPr>
        <w:spacing w:line="560" w:lineRule="exact"/>
        <w:ind w:firstLineChars="200" w:firstLine="640"/>
        <w:rPr>
          <w:rFonts w:ascii="方正黑体_GBK" w:eastAsia="方正黑体_GBK" w:cs="Times New Roman"/>
          <w:sz w:val="32"/>
          <w:szCs w:val="32"/>
        </w:rPr>
      </w:pPr>
    </w:p>
    <w:p>
      <w:pPr>
        <w:spacing w:line="560" w:lineRule="exact"/>
        <w:ind w:firstLineChars="200" w:firstLine="640"/>
        <w:rPr>
          <w:rFonts w:ascii="Times New Roman" w:eastAsia="方正仿宋_GBK" w:cs="Times New Roman" w:hAnsi="Times New Roman"/>
          <w:sz w:val="32"/>
          <w:szCs w:val="32"/>
        </w:rPr>
      </w:pPr>
      <w:r>
        <w:rPr>
          <w:rFonts w:ascii="方正黑体_GBK" w:eastAsia="方正黑体_GBK" w:cs="Times New Roman"/>
          <w:sz w:val="32"/>
          <w:szCs w:val="32"/>
        </w:rPr>
        <w:br w:type="page"/>
        <w:t>八、怎么进行知识产权海关备案</w:t>
      </w:r>
      <w:r>
        <w:rPr>
          <w:rFonts w:ascii="方正黑体_GBK" w:eastAsia="方正黑体_GBK" w:cs="Times New Roman" w:hint="eastAsia"/>
          <w:sz w:val="32"/>
          <w:szCs w:val="32"/>
        </w:rPr>
        <w:t>？</w:t>
      </w:r>
      <w:r>
        <w:rPr>
          <w:rFonts w:ascii="Times New Roman" w:eastAsia="方正仿宋_GBK" w:cs="Times New Roman" w:hAnsi="Times New Roman"/>
          <w:sz w:val="32"/>
          <w:szCs w:val="32"/>
        </w:rPr>
        <w:pict>
          <v:group type="#_x0000_t75" id="对象 39" o:spid="_x0000_s39" editas="canvas" coordorigin="1375,2594" coordsize="8929,11326" style="position:absolute;margin-left:-21.243572pt;margin-top:57.706047pt;width:446.49377pt;height:566.3436pt;z-index:16;mso-position-horizontal:absolute;mso-position-vertical:absolute;mso-wrap-distance-left:6.749897pt;mso-wrap-distance-right:6.749897pt;">
            <v:shape id="_x0000_s40" type="#_x0000_t75" style="position:absolute;left:1375;top:2594;width:8929;height:11326" filled="f" stroked="f">
              <v:stroke color="#000000"/>
            </v:shape>
            <v:shape type="#_x0000_t2" id="圆角矩形 41" o:spid="_x0000_s41" style="position:absolute;left:5159;top:2594;width:2204;height:929;mso-wrap-style:square;" fillcolor="#D7E3BC" stroked="t">
              <v:textbox id="867" inset="2.54mm,1.27mm,2.54mm,1.27mm" o:insetmode="custom" style="layout-flow:horizontal;v-text-anchor:top;">
                <w:txbxContent>
                  <w:p>
                    <w:pPr>
                      <w:pStyle w:val="162"/>
                      <w:jc w:val="center"/>
                    </w:pPr>
                    <w:r>
                      <w:t>登录海关总署官网进入互联网+海关</w:t>
                    </w:r>
                  </w:p>
                </w:txbxContent>
              </v:textbox>
              <v:stroke color="#000000"/>
            </v:shape>
            <v:shape type="#_x0000_t2" id="圆角矩形 42" o:spid="_x0000_s42" style="position:absolute;left:5157;top:4151;width:2204;height:929;mso-wrap-style:square;" fillcolor="#D7E3BC" stroked="t">
              <v:textbox id="868" inset="2.54mm,1.27mm,2.54mm,1.27mm" o:insetmode="custom" style="layout-flow:horizontal;v-text-anchor:top;">
                <w:txbxContent>
                  <w:p>
                    <w:pPr>
                      <w:pStyle w:val="163"/>
                      <w:jc w:val="center"/>
                    </w:pPr>
                    <w:r>
                      <w:t>知识产权</w:t>
                    </w:r>
                  </w:p>
                </w:txbxContent>
              </v:textbox>
              <v:stroke color="#000000"/>
            </v:shape>
            <v:shape type="#_x0000_t2" id="圆角矩形 43" o:spid="_x0000_s43" style="position:absolute;left:5170;top:7535;width:2204;height:929;mso-wrap-style:square;" fillcolor="#D7E3BC" stroked="t">
              <v:textbox id="871" inset="2.54mm,1.27mm,2.54mm,1.27mm" o:insetmode="custom" style="layout-flow:horizontal;v-text-anchor:top;">
                <w:txbxContent>
                  <w:p>
                    <w:pPr>
                      <w:pStyle w:val="166"/>
                      <w:jc w:val="center"/>
                    </w:pPr>
                    <w:r>
                      <w:t>进行用户注册</w:t>
                    </w:r>
                  </w:p>
                </w:txbxContent>
              </v:textbox>
              <v:stroke color="#000000"/>
            </v:shape>
            <v:shape type="#_x0000_t2" id="圆角矩形 44" o:spid="_x0000_s44" style="position:absolute;left:5172;top:5827;width:2204;height:929;mso-wrap-style:square;" fillcolor="#D7E3BC" stroked="t">
              <v:textbox id="872" inset="2.54mm,1.27mm,2.54mm,1.27mm" o:insetmode="custom" style="layout-flow:horizontal;v-text-anchor:top;">
                <w:txbxContent>
                  <w:p>
                    <w:pPr>
                      <w:pStyle w:val="167"/>
                      <w:jc w:val="center"/>
                    </w:pPr>
                    <w:r>
                      <w:t>知识产权海关保护备案子系统</w:t>
                    </w:r>
                  </w:p>
                </w:txbxContent>
              </v:textbox>
              <v:stroke color="#000000"/>
            </v:shape>
            <v:line type="#_x0000_t20" id="直线 45" o:spid="_x0000_s45" style="position:absolute;" from="6211.198,3561.3928" to="6211.198,4185.489" filled="f" stroked="t">
              <v:stroke color="#000000" endarrow="block"/>
            </v:line>
            <v:shape type="#_x0000_t2" id="圆角矩形 46" o:spid="_x0000_s46" style="position:absolute;left:5172;top:9248;width:2204;height:929;mso-wrap-style:square;" fillcolor="#D7E3BC" stroked="t">
              <v:textbox id="873" inset="2.54mm,1.27mm,2.54mm,1.27mm" o:insetmode="custom" style="layout-flow:horizontal;v-text-anchor:top;">
                <w:txbxContent>
                  <w:p>
                    <w:pPr>
                      <w:pStyle w:val="168"/>
                      <w:jc w:val="center"/>
                    </w:pPr>
                    <w:r>
                      <w:t>录入备案申请数据</w:t>
                    </w:r>
                  </w:p>
                </w:txbxContent>
              </v:textbox>
              <v:stroke color="#000000"/>
            </v:shape>
            <v:shape type="#_x0000_t2" id="圆角矩形 47" o:spid="_x0000_s47" style="position:absolute;left:4436;top:10971;width:3633;height:929;mso-wrap-style:square;" fillcolor="#D7E3BC" stroked="t">
              <v:textbox id="874" inset="2.54mm,1.27mm,2.54mm,1.27mm" o:insetmode="custom" style="layout-flow:horizontal;v-text-anchor:top;">
                <w:txbxContent>
                  <w:p>
                    <w:pPr>
                      <w:pStyle w:val="169"/>
                      <w:jc w:val="center"/>
                    </w:pPr>
                    <w:r>
                      <w:t>海关总署在30个工作日内进行核准或者驳回申请</w:t>
                    </w:r>
                  </w:p>
                </w:txbxContent>
              </v:textbox>
              <v:stroke color="#000000"/>
            </v:shape>
            <v:shape type="#_x0000_t2" id="圆角矩形 48" o:spid="_x0000_s48" style="position:absolute;left:4962;top:12532;width:2732;height:929;mso-wrap-style:square;" fillcolor="#D7E3BC" stroked="t">
              <v:textbox id="875" inset="2.54mm,1.27mm,2.54mm,1.27mm" o:insetmode="custom" style="layout-flow:horizontal;v-text-anchor:top;">
                <w:txbxContent>
                  <w:p>
                    <w:pPr>
                      <w:pStyle w:val="168"/>
                      <w:jc w:val="center"/>
                    </w:pPr>
                    <w:r>
                      <w:t>如被驳回，可根据驳回理由修改后再提交</w:t>
                    </w:r>
                  </w:p>
                </w:txbxContent>
              </v:textbox>
              <v:stroke color="#000000"/>
            </v:shape>
            <v:line type="#_x0000_t20" id="直线 49" o:spid="_x0000_s49" style="position:absolute;" from="6225.006,5040.999" to="6225.006,5820.9985" filled="f" stroked="t">
              <v:stroke color="#000000" endarrow="block"/>
            </v:line>
            <v:line type="#_x0000_t20" id="直线 50" o:spid="_x0000_s50" style="position:absolute;" from="6225.006,6756.999" to="6225.006,7536.9995" filled="f" stroked="t">
              <v:stroke color="#000000" endarrow="block"/>
            </v:line>
            <v:line type="#_x0000_t20" id="直线 51" o:spid="_x0000_s51" style="position:absolute;" from="6225.006,8473.0" to="6225.006,9253.0" filled="f" stroked="t">
              <v:stroke color="#000000" endarrow="block"/>
            </v:line>
            <v:line type="#_x0000_t20" id="直线 52" o:spid="_x0000_s52" style="position:absolute;" from="6225.006,10189.0" to="6225.006,10968.999" filled="f" stroked="t">
              <v:stroke color="#000000" endarrow="block"/>
            </v:line>
            <v:line type="#_x0000_t20" id="直线 53" o:spid="_x0000_s53" style="position:absolute;" from="6225.006,11904.999" to="6225.006,12528.999" filled="f" stroked="t">
              <v:stroke color="#000000" endarrow="block"/>
            </v:line>
            <o:lock aspectratio="t"/>
          </v:group>
        </w:pict>
      </w:r>
      <w:bookmarkStart w:id="0" w:name="_GoBack"/>
      <w:bookmarkEnd w:id="0"/>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character" w:default="1" w:styleId="10">
    <w:name w:val="Default Paragraph Font"/>
  </w:style>
  <w:style w:type="character" w:styleId="15">
    <w:name w:val="Strong"/>
    <w:basedOn w:val="10"/>
    <w:rPr>
      <w:b/>
      <w:bCs/>
    </w:rPr>
  </w:style>
  <w:style w:type="paragraph" w:customStyle="1" w:styleId="16">
    <w:name w:val="List Paragraph"/>
    <w:basedOn w:val="0"/>
    <w:pPr>
      <w:ind w:firstLineChars="200" w:firstLine="200"/>
    </w:pPr>
  </w:style>
  <w:style w:type="paragraph" w:styleId="17">
    <w:name w:val="Normal (Web)"/>
    <w:basedOn w:val="0"/>
    <w:pPr>
      <w:widowControl/>
      <w:spacing w:before="100" w:beforeAutospacing="1" w:after="100" w:afterAutospacing="1"/>
      <w:jc w:val="left"/>
    </w:pPr>
    <w:rPr>
      <w:rFonts w:ascii="宋体" w:eastAsia="宋体" w:cs="宋体"/>
      <w:kern w:val="0"/>
      <w:sz w:val="24"/>
      <w:szCs w:val="24"/>
    </w:rPr>
  </w:style>
  <w:style w:type="paragraph" w:customStyle="1" w:styleId="18">
    <w:name w:val="样式 10 磅"/>
    <w:pPr>
      <w:widowControl w:val="0"/>
      <w:jc w:val="both"/>
    </w:pPr>
    <w:rPr>
      <w:rFonts w:ascii="Calibri" w:eastAsia="宋体" w:cs="Arial" w:hAnsi="Calibri"/>
      <w:kern w:val="2"/>
      <w:sz w:val="21"/>
      <w:szCs w:val="22"/>
      <w:lang w:val="en-US" w:eastAsia="zh-CN" w:bidi="ar-SA"/>
    </w:rPr>
  </w:style>
  <w:style w:type="paragraph" w:customStyle="1" w:styleId="19">
    <w:name w:val="样式 1 10 磅"/>
    <w:pPr>
      <w:widowControl w:val="0"/>
      <w:jc w:val="both"/>
    </w:pPr>
    <w:rPr>
      <w:rFonts w:ascii="Calibri" w:eastAsia="宋体" w:cs="Arial" w:hAnsi="Calibri"/>
      <w:kern w:val="2"/>
      <w:sz w:val="21"/>
      <w:szCs w:val="22"/>
      <w:lang w:val="en-US" w:eastAsia="zh-CN" w:bidi="ar-SA"/>
    </w:rPr>
  </w:style>
  <w:style w:type="paragraph" w:customStyle="1" w:styleId="20">
    <w:name w:val="样式 2 10 磅"/>
    <w:pPr>
      <w:widowControl w:val="0"/>
      <w:jc w:val="both"/>
    </w:pPr>
    <w:rPr>
      <w:rFonts w:ascii="Calibri" w:eastAsia="宋体" w:cs="Arial" w:hAnsi="Calibri"/>
      <w:kern w:val="2"/>
      <w:sz w:val="21"/>
      <w:szCs w:val="22"/>
      <w:lang w:val="en-US" w:eastAsia="zh-CN" w:bidi="ar-SA"/>
    </w:rPr>
  </w:style>
  <w:style w:type="paragraph" w:customStyle="1" w:styleId="21">
    <w:name w:val="样式 3 10 磅"/>
    <w:pPr>
      <w:widowControl w:val="0"/>
      <w:jc w:val="both"/>
    </w:pPr>
    <w:rPr>
      <w:rFonts w:ascii="Calibri" w:eastAsia="宋体" w:cs="Arial" w:hAnsi="Calibri"/>
      <w:kern w:val="2"/>
      <w:sz w:val="21"/>
      <w:szCs w:val="22"/>
      <w:lang w:val="en-US" w:eastAsia="zh-CN" w:bidi="ar-SA"/>
    </w:rPr>
  </w:style>
  <w:style w:type="paragraph" w:customStyle="1" w:styleId="22">
    <w:name w:val="样式 4 10 磅"/>
    <w:pPr>
      <w:widowControl w:val="0"/>
      <w:jc w:val="both"/>
    </w:pPr>
    <w:rPr>
      <w:rFonts w:ascii="Calibri" w:eastAsia="宋体" w:cs="Arial" w:hAnsi="Calibri"/>
      <w:kern w:val="2"/>
      <w:sz w:val="21"/>
      <w:szCs w:val="22"/>
      <w:lang w:val="en-US" w:eastAsia="zh-CN" w:bidi="ar-SA"/>
    </w:rPr>
  </w:style>
  <w:style w:type="paragraph" w:customStyle="1" w:styleId="23">
    <w:name w:val="样式 5 10 磅"/>
    <w:pPr>
      <w:widowControl w:val="0"/>
      <w:jc w:val="both"/>
    </w:pPr>
    <w:rPr>
      <w:rFonts w:ascii="Calibri" w:eastAsia="宋体" w:cs="Arial" w:hAnsi="Calibri"/>
      <w:kern w:val="2"/>
      <w:sz w:val="21"/>
      <w:szCs w:val="22"/>
      <w:lang w:val="en-US" w:eastAsia="zh-CN" w:bidi="ar-SA"/>
    </w:rPr>
  </w:style>
  <w:style w:type="paragraph" w:customStyle="1" w:styleId="24">
    <w:name w:val="样式 6 10 磅"/>
    <w:pPr>
      <w:widowControl w:val="0"/>
      <w:jc w:val="both"/>
    </w:pPr>
    <w:rPr>
      <w:rFonts w:ascii="Calibri" w:eastAsia="宋体" w:cs="Arial" w:hAnsi="Calibri"/>
      <w:kern w:val="2"/>
      <w:sz w:val="21"/>
      <w:szCs w:val="22"/>
      <w:lang w:val="en-US" w:eastAsia="zh-CN" w:bidi="ar-SA"/>
    </w:rPr>
  </w:style>
  <w:style w:type="paragraph" w:customStyle="1" w:styleId="25">
    <w:name w:val="样式 7 10 磅"/>
    <w:pPr>
      <w:widowControl w:val="0"/>
      <w:jc w:val="both"/>
    </w:pPr>
    <w:rPr>
      <w:rFonts w:ascii="Calibri" w:eastAsia="宋体" w:cs="Arial" w:hAnsi="Calibri"/>
      <w:kern w:val="2"/>
      <w:sz w:val="21"/>
      <w:szCs w:val="22"/>
      <w:lang w:val="en-US" w:eastAsia="zh-CN" w:bidi="ar-SA"/>
    </w:rPr>
  </w:style>
  <w:style w:type="paragraph" w:customStyle="1" w:styleId="26">
    <w:name w:val="样式 8 10 磅"/>
    <w:pPr>
      <w:widowControl w:val="0"/>
      <w:jc w:val="both"/>
    </w:pPr>
    <w:rPr>
      <w:rFonts w:ascii="Calibri" w:eastAsia="宋体" w:cs="Arial" w:hAnsi="Calibri"/>
      <w:kern w:val="2"/>
      <w:sz w:val="21"/>
      <w:szCs w:val="22"/>
      <w:lang w:val="en-US" w:eastAsia="zh-CN" w:bidi="ar-SA"/>
    </w:rPr>
  </w:style>
  <w:style w:type="paragraph" w:customStyle="1" w:styleId="27">
    <w:name w:val="样式 9 10 磅"/>
    <w:pPr>
      <w:widowControl w:val="0"/>
      <w:jc w:val="both"/>
    </w:pPr>
    <w:rPr>
      <w:rFonts w:ascii="Calibri" w:eastAsia="宋体" w:cs="Arial" w:hAnsi="Calibri"/>
      <w:kern w:val="2"/>
      <w:sz w:val="21"/>
      <w:szCs w:val="22"/>
      <w:lang w:val="en-US" w:eastAsia="zh-CN" w:bidi="ar-SA"/>
    </w:rPr>
  </w:style>
  <w:style w:type="paragraph" w:customStyle="1" w:styleId="28">
    <w:name w:val="样式 10 10 磅"/>
    <w:pPr>
      <w:widowControl w:val="0"/>
      <w:jc w:val="both"/>
    </w:pPr>
    <w:rPr>
      <w:rFonts w:ascii="Calibri" w:eastAsia="宋体" w:cs="Arial" w:hAnsi="Calibri"/>
      <w:kern w:val="2"/>
      <w:sz w:val="21"/>
      <w:szCs w:val="22"/>
      <w:lang w:val="en-US" w:eastAsia="zh-CN" w:bidi="ar-SA"/>
    </w:rPr>
  </w:style>
  <w:style w:type="paragraph" w:customStyle="1" w:styleId="29">
    <w:name w:val="样式 11 10 磅"/>
    <w:pPr>
      <w:widowControl w:val="0"/>
      <w:jc w:val="both"/>
    </w:pPr>
    <w:rPr>
      <w:rFonts w:ascii="Calibri" w:eastAsia="宋体" w:cs="Arial" w:hAnsi="Calibri"/>
      <w:kern w:val="2"/>
      <w:sz w:val="21"/>
      <w:szCs w:val="22"/>
      <w:lang w:val="en-US" w:eastAsia="zh-CN" w:bidi="ar-SA"/>
    </w:rPr>
  </w:style>
  <w:style w:type="paragraph" w:customStyle="1" w:styleId="30">
    <w:name w:val="样式 12 10 磅"/>
    <w:pPr>
      <w:widowControl w:val="0"/>
      <w:jc w:val="both"/>
    </w:pPr>
    <w:rPr>
      <w:rFonts w:ascii="Calibri" w:eastAsia="宋体" w:cs="Arial" w:hAnsi="Calibri"/>
      <w:kern w:val="2"/>
      <w:sz w:val="21"/>
      <w:szCs w:val="22"/>
      <w:lang w:val="en-US" w:eastAsia="zh-CN" w:bidi="ar-SA"/>
    </w:rPr>
  </w:style>
  <w:style w:type="paragraph" w:customStyle="1" w:styleId="31">
    <w:name w:val="样式 13 10 磅"/>
    <w:pPr>
      <w:widowControl w:val="0"/>
      <w:jc w:val="both"/>
    </w:pPr>
    <w:rPr>
      <w:rFonts w:ascii="Calibri" w:eastAsia="宋体" w:cs="Arial" w:hAnsi="Calibri"/>
      <w:kern w:val="2"/>
      <w:sz w:val="21"/>
      <w:szCs w:val="22"/>
      <w:lang w:val="en-US" w:eastAsia="zh-CN" w:bidi="ar-SA"/>
    </w:rPr>
  </w:style>
  <w:style w:type="paragraph" w:customStyle="1" w:styleId="32">
    <w:name w:val="样式 14 10 磅"/>
    <w:pPr>
      <w:widowControl w:val="0"/>
      <w:jc w:val="both"/>
    </w:pPr>
    <w:rPr>
      <w:rFonts w:ascii="Calibri" w:eastAsia="宋体" w:cs="Arial" w:hAnsi="Calibri"/>
      <w:kern w:val="2"/>
      <w:sz w:val="21"/>
      <w:szCs w:val="22"/>
      <w:lang w:val="en-US" w:eastAsia="zh-CN" w:bidi="ar-SA"/>
    </w:rPr>
  </w:style>
  <w:style w:type="paragraph" w:customStyle="1" w:styleId="33">
    <w:name w:val="样式 15 10 磅"/>
    <w:pPr>
      <w:widowControl w:val="0"/>
      <w:jc w:val="both"/>
    </w:pPr>
    <w:rPr>
      <w:rFonts w:ascii="Calibri" w:eastAsia="宋体" w:cs="Arial" w:hAnsi="Calibri"/>
      <w:kern w:val="2"/>
      <w:sz w:val="21"/>
      <w:szCs w:val="22"/>
      <w:lang w:val="en-US" w:eastAsia="zh-CN" w:bidi="ar-SA"/>
    </w:rPr>
  </w:style>
  <w:style w:type="paragraph" w:customStyle="1" w:styleId="34">
    <w:name w:val="样式 16 10 磅"/>
    <w:pPr>
      <w:widowControl w:val="0"/>
      <w:jc w:val="both"/>
    </w:pPr>
    <w:rPr>
      <w:rFonts w:ascii="Calibri" w:eastAsia="宋体" w:cs="Arial" w:hAnsi="Calibri"/>
      <w:kern w:val="2"/>
      <w:sz w:val="21"/>
      <w:szCs w:val="22"/>
      <w:lang w:val="en-US" w:eastAsia="zh-CN" w:bidi="ar-SA"/>
    </w:rPr>
  </w:style>
  <w:style w:type="paragraph" w:customStyle="1" w:styleId="35">
    <w:name w:val="样式 17 10 磅"/>
    <w:pPr>
      <w:widowControl w:val="0"/>
      <w:jc w:val="both"/>
    </w:pPr>
    <w:rPr>
      <w:rFonts w:ascii="Calibri" w:eastAsia="宋体" w:cs="Arial" w:hAnsi="Calibri"/>
      <w:kern w:val="2"/>
      <w:sz w:val="21"/>
      <w:szCs w:val="22"/>
      <w:lang w:val="en-US" w:eastAsia="zh-CN" w:bidi="ar-SA"/>
    </w:rPr>
  </w:style>
  <w:style w:type="paragraph" w:customStyle="1" w:styleId="36">
    <w:name w:val="样式 18 10 磅"/>
    <w:pPr>
      <w:widowControl w:val="0"/>
      <w:jc w:val="both"/>
    </w:pPr>
    <w:rPr>
      <w:rFonts w:ascii="Calibri" w:eastAsia="宋体" w:cs="Arial" w:hAnsi="Calibri"/>
      <w:kern w:val="2"/>
      <w:sz w:val="21"/>
      <w:szCs w:val="22"/>
      <w:lang w:val="en-US" w:eastAsia="zh-CN" w:bidi="ar-SA"/>
    </w:rPr>
  </w:style>
  <w:style w:type="paragraph" w:customStyle="1" w:styleId="37">
    <w:name w:val="样式 19 10 磅"/>
    <w:pPr>
      <w:widowControl w:val="0"/>
      <w:jc w:val="both"/>
    </w:pPr>
    <w:rPr>
      <w:rFonts w:ascii="Calibri" w:eastAsia="宋体" w:cs="Arial" w:hAnsi="Calibri"/>
      <w:kern w:val="2"/>
      <w:sz w:val="21"/>
      <w:szCs w:val="22"/>
      <w:lang w:val="en-US" w:eastAsia="zh-CN" w:bidi="ar-SA"/>
    </w:rPr>
  </w:style>
  <w:style w:type="paragraph" w:customStyle="1" w:styleId="38">
    <w:name w:val="样式 20 10 磅"/>
    <w:pPr>
      <w:widowControl w:val="0"/>
      <w:jc w:val="both"/>
    </w:pPr>
    <w:rPr>
      <w:rFonts w:ascii="Calibri" w:eastAsia="宋体" w:cs="Arial" w:hAnsi="Calibri"/>
      <w:kern w:val="2"/>
      <w:sz w:val="21"/>
      <w:szCs w:val="22"/>
      <w:lang w:val="en-US" w:eastAsia="zh-CN" w:bidi="ar-SA"/>
    </w:rPr>
  </w:style>
  <w:style w:type="paragraph" w:customStyle="1" w:styleId="39">
    <w:name w:val="样式 21 10 磅"/>
    <w:pPr>
      <w:widowControl w:val="0"/>
      <w:jc w:val="both"/>
    </w:pPr>
    <w:rPr>
      <w:rFonts w:ascii="Calibri" w:eastAsia="宋体" w:cs="Arial" w:hAnsi="Calibri"/>
      <w:kern w:val="2"/>
      <w:sz w:val="21"/>
      <w:szCs w:val="22"/>
      <w:lang w:val="en-US" w:eastAsia="zh-CN" w:bidi="ar-SA"/>
    </w:rPr>
  </w:style>
  <w:style w:type="paragraph" w:customStyle="1" w:styleId="40">
    <w:name w:val="样式 22 10 磅"/>
    <w:pPr>
      <w:widowControl w:val="0"/>
      <w:jc w:val="both"/>
    </w:pPr>
    <w:rPr>
      <w:rFonts w:ascii="Calibri" w:eastAsia="宋体" w:cs="Arial" w:hAnsi="Calibri"/>
      <w:kern w:val="2"/>
      <w:sz w:val="21"/>
      <w:szCs w:val="22"/>
      <w:lang w:val="en-US" w:eastAsia="zh-CN" w:bidi="ar-SA"/>
    </w:rPr>
  </w:style>
  <w:style w:type="paragraph" w:customStyle="1" w:styleId="41">
    <w:name w:val="样式 23 10 磅"/>
    <w:pPr>
      <w:widowControl w:val="0"/>
      <w:jc w:val="both"/>
    </w:pPr>
    <w:rPr>
      <w:rFonts w:ascii="Calibri" w:eastAsia="宋体" w:cs="Arial" w:hAnsi="Calibri"/>
      <w:kern w:val="2"/>
      <w:sz w:val="21"/>
      <w:szCs w:val="22"/>
      <w:lang w:val="en-US" w:eastAsia="zh-CN" w:bidi="ar-SA"/>
    </w:rPr>
  </w:style>
  <w:style w:type="paragraph" w:customStyle="1" w:styleId="42">
    <w:name w:val="样式 24 10 磅"/>
    <w:pPr>
      <w:widowControl w:val="0"/>
      <w:jc w:val="both"/>
    </w:pPr>
    <w:rPr>
      <w:rFonts w:ascii="Calibri" w:eastAsia="宋体" w:cs="Arial" w:hAnsi="Calibri"/>
      <w:kern w:val="2"/>
      <w:sz w:val="21"/>
      <w:szCs w:val="22"/>
      <w:lang w:val="en-US" w:eastAsia="zh-CN" w:bidi="ar-SA"/>
    </w:rPr>
  </w:style>
  <w:style w:type="paragraph" w:customStyle="1" w:styleId="43">
    <w:name w:val="样式 25 10 磅"/>
    <w:pPr>
      <w:widowControl w:val="0"/>
      <w:jc w:val="both"/>
    </w:pPr>
    <w:rPr>
      <w:rFonts w:ascii="Calibri" w:eastAsia="宋体" w:cs="Arial" w:hAnsi="Calibri"/>
      <w:kern w:val="2"/>
      <w:sz w:val="21"/>
      <w:szCs w:val="22"/>
      <w:lang w:val="en-US" w:eastAsia="zh-CN" w:bidi="ar-SA"/>
    </w:rPr>
  </w:style>
  <w:style w:type="paragraph" w:customStyle="1" w:styleId="44">
    <w:name w:val="样式 26 10 磅"/>
    <w:pPr>
      <w:widowControl w:val="0"/>
      <w:jc w:val="both"/>
    </w:pPr>
    <w:rPr>
      <w:rFonts w:ascii="Calibri" w:eastAsia="宋体" w:cs="Arial" w:hAnsi="Calibri"/>
      <w:kern w:val="2"/>
      <w:sz w:val="21"/>
      <w:szCs w:val="22"/>
      <w:lang w:val="en-US" w:eastAsia="zh-CN" w:bidi="ar-SA"/>
    </w:rPr>
  </w:style>
  <w:style w:type="paragraph" w:customStyle="1" w:styleId="45">
    <w:name w:val="样式 27 10 磅"/>
    <w:pPr>
      <w:widowControl w:val="0"/>
      <w:jc w:val="both"/>
    </w:pPr>
    <w:rPr>
      <w:rFonts w:ascii="Calibri" w:eastAsia="宋体" w:cs="Arial" w:hAnsi="Calibri"/>
      <w:kern w:val="2"/>
      <w:sz w:val="21"/>
      <w:szCs w:val="22"/>
      <w:lang w:val="en-US" w:eastAsia="zh-CN" w:bidi="ar-SA"/>
    </w:rPr>
  </w:style>
  <w:style w:type="paragraph" w:customStyle="1" w:styleId="46">
    <w:name w:val="样式 28 10 磅"/>
    <w:pPr>
      <w:widowControl w:val="0"/>
      <w:jc w:val="both"/>
    </w:pPr>
    <w:rPr>
      <w:rFonts w:ascii="Calibri" w:eastAsia="宋体" w:cs="Arial" w:hAnsi="Calibri"/>
      <w:kern w:val="2"/>
      <w:sz w:val="21"/>
      <w:szCs w:val="22"/>
      <w:lang w:val="en-US" w:eastAsia="zh-CN" w:bidi="ar-SA"/>
    </w:rPr>
  </w:style>
  <w:style w:type="paragraph" w:customStyle="1" w:styleId="47">
    <w:name w:val="样式 29 10 磅"/>
    <w:pPr>
      <w:widowControl w:val="0"/>
      <w:jc w:val="both"/>
    </w:pPr>
    <w:rPr>
      <w:rFonts w:ascii="Calibri" w:eastAsia="宋体" w:cs="Arial" w:hAnsi="Calibri"/>
      <w:kern w:val="2"/>
      <w:sz w:val="21"/>
      <w:szCs w:val="22"/>
      <w:lang w:val="en-US" w:eastAsia="zh-CN" w:bidi="ar-SA"/>
    </w:rPr>
  </w:style>
  <w:style w:type="paragraph" w:customStyle="1" w:styleId="48">
    <w:name w:val="样式 30 10 磅"/>
    <w:pPr>
      <w:widowControl w:val="0"/>
      <w:jc w:val="both"/>
    </w:pPr>
    <w:rPr>
      <w:rFonts w:ascii="Calibri" w:eastAsia="宋体" w:cs="Arial" w:hAnsi="Calibri"/>
      <w:kern w:val="2"/>
      <w:sz w:val="21"/>
      <w:szCs w:val="22"/>
      <w:lang w:val="en-US" w:eastAsia="zh-CN" w:bidi="ar-SA"/>
    </w:rPr>
  </w:style>
  <w:style w:type="paragraph" w:customStyle="1" w:styleId="49">
    <w:name w:val="样式 31 10 磅"/>
    <w:pPr>
      <w:widowControl w:val="0"/>
      <w:jc w:val="both"/>
    </w:pPr>
    <w:rPr>
      <w:rFonts w:ascii="Calibri" w:eastAsia="宋体" w:cs="Arial" w:hAnsi="Calibri"/>
      <w:kern w:val="2"/>
      <w:sz w:val="21"/>
      <w:szCs w:val="22"/>
      <w:lang w:val="en-US" w:eastAsia="zh-CN" w:bidi="ar-SA"/>
    </w:rPr>
  </w:style>
  <w:style w:type="paragraph" w:customStyle="1" w:styleId="50">
    <w:name w:val="样式 32 10 磅"/>
    <w:pPr>
      <w:widowControl w:val="0"/>
      <w:jc w:val="both"/>
    </w:pPr>
    <w:rPr>
      <w:rFonts w:ascii="Calibri" w:eastAsia="宋体" w:cs="Arial" w:hAnsi="Calibri"/>
      <w:kern w:val="2"/>
      <w:sz w:val="21"/>
      <w:szCs w:val="22"/>
      <w:lang w:val="en-US" w:eastAsia="zh-CN" w:bidi="ar-SA"/>
    </w:rPr>
  </w:style>
  <w:style w:type="paragraph" w:customStyle="1" w:styleId="51">
    <w:name w:val="样式 33 10 磅"/>
    <w:pPr>
      <w:widowControl w:val="0"/>
      <w:jc w:val="both"/>
    </w:pPr>
    <w:rPr>
      <w:rFonts w:ascii="Calibri" w:eastAsia="宋体" w:cs="Arial" w:hAnsi="Calibri"/>
      <w:kern w:val="2"/>
      <w:sz w:val="21"/>
      <w:szCs w:val="22"/>
      <w:lang w:val="en-US" w:eastAsia="zh-CN" w:bidi="ar-SA"/>
    </w:rPr>
  </w:style>
  <w:style w:type="paragraph" w:customStyle="1" w:styleId="52">
    <w:name w:val="样式 34 10 磅"/>
    <w:pPr>
      <w:widowControl w:val="0"/>
      <w:jc w:val="both"/>
    </w:pPr>
    <w:rPr>
      <w:rFonts w:ascii="Calibri" w:eastAsia="宋体" w:cs="Arial" w:hAnsi="Calibri"/>
      <w:kern w:val="2"/>
      <w:sz w:val="21"/>
      <w:szCs w:val="22"/>
      <w:lang w:val="en-US" w:eastAsia="zh-CN" w:bidi="ar-SA"/>
    </w:rPr>
  </w:style>
  <w:style w:type="paragraph" w:customStyle="1" w:styleId="53">
    <w:name w:val="样式 35 10 磅"/>
    <w:pPr>
      <w:widowControl w:val="0"/>
      <w:jc w:val="both"/>
    </w:pPr>
    <w:rPr>
      <w:rFonts w:ascii="Calibri" w:eastAsia="宋体" w:cs="Arial" w:hAnsi="Calibri"/>
      <w:kern w:val="2"/>
      <w:sz w:val="21"/>
      <w:szCs w:val="22"/>
      <w:lang w:val="en-US" w:eastAsia="zh-CN" w:bidi="ar-SA"/>
    </w:rPr>
  </w:style>
  <w:style w:type="paragraph" w:customStyle="1" w:styleId="54">
    <w:name w:val="样式 36 10 磅"/>
    <w:pPr>
      <w:widowControl w:val="0"/>
      <w:jc w:val="both"/>
    </w:pPr>
    <w:rPr>
      <w:rFonts w:ascii="Calibri" w:eastAsia="宋体" w:cs="Arial" w:hAnsi="Calibri"/>
      <w:kern w:val="2"/>
      <w:sz w:val="21"/>
      <w:szCs w:val="22"/>
      <w:lang w:val="en-US" w:eastAsia="zh-CN" w:bidi="ar-SA"/>
    </w:rPr>
  </w:style>
  <w:style w:type="paragraph" w:customStyle="1" w:styleId="55">
    <w:name w:val="样式 37 10 磅"/>
    <w:pPr>
      <w:widowControl w:val="0"/>
      <w:jc w:val="both"/>
    </w:pPr>
    <w:rPr>
      <w:rFonts w:ascii="Calibri" w:eastAsia="宋体" w:cs="Arial" w:hAnsi="Calibri"/>
      <w:kern w:val="2"/>
      <w:sz w:val="21"/>
      <w:szCs w:val="22"/>
      <w:lang w:val="en-US" w:eastAsia="zh-CN" w:bidi="ar-SA"/>
    </w:rPr>
  </w:style>
  <w:style w:type="paragraph" w:customStyle="1" w:styleId="162">
    <w:name w:val="样式 38 10 磅"/>
    <w:pPr>
      <w:widowControl w:val="0"/>
      <w:jc w:val="both"/>
    </w:pPr>
    <w:rPr>
      <w:rFonts w:ascii="Calibri" w:eastAsia="宋体" w:cs="Arial" w:hAnsi="Calibri"/>
      <w:kern w:val="2"/>
      <w:sz w:val="21"/>
      <w:szCs w:val="22"/>
      <w:lang w:val="en-US" w:eastAsia="zh-CN" w:bidi="ar-SA"/>
    </w:rPr>
  </w:style>
  <w:style w:type="paragraph" w:customStyle="1" w:styleId="163">
    <w:name w:val="样式 39 10 磅"/>
    <w:pPr>
      <w:widowControl w:val="0"/>
      <w:jc w:val="both"/>
    </w:pPr>
    <w:rPr>
      <w:rFonts w:ascii="Calibri" w:eastAsia="宋体" w:cs="Arial" w:hAnsi="Calibri"/>
      <w:kern w:val="2"/>
      <w:sz w:val="21"/>
      <w:szCs w:val="22"/>
      <w:lang w:val="en-US" w:eastAsia="zh-CN" w:bidi="ar-SA"/>
    </w:rPr>
  </w:style>
  <w:style w:type="paragraph" w:customStyle="1" w:styleId="164">
    <w:name w:val="样式 40 10 磅"/>
    <w:pPr>
      <w:widowControl w:val="0"/>
      <w:jc w:val="both"/>
    </w:pPr>
    <w:rPr>
      <w:rFonts w:ascii="Calibri" w:eastAsia="宋体" w:cs="Arial" w:hAnsi="Calibri"/>
      <w:kern w:val="2"/>
      <w:sz w:val="21"/>
      <w:szCs w:val="22"/>
      <w:lang w:val="en-US" w:eastAsia="zh-CN" w:bidi="ar-SA"/>
    </w:rPr>
  </w:style>
  <w:style w:type="paragraph" w:customStyle="1" w:styleId="165">
    <w:name w:val="样式 41 10 磅"/>
    <w:pPr>
      <w:widowControl w:val="0"/>
      <w:jc w:val="both"/>
    </w:pPr>
    <w:rPr>
      <w:rFonts w:ascii="Calibri" w:eastAsia="宋体" w:cs="Arial" w:hAnsi="Calibri"/>
      <w:kern w:val="2"/>
      <w:sz w:val="21"/>
      <w:szCs w:val="22"/>
      <w:lang w:val="en-US" w:eastAsia="zh-CN" w:bidi="ar-SA"/>
    </w:rPr>
  </w:style>
  <w:style w:type="paragraph" w:customStyle="1" w:styleId="166">
    <w:name w:val="样式 42 10 磅"/>
    <w:pPr>
      <w:widowControl w:val="0"/>
      <w:jc w:val="both"/>
    </w:pPr>
    <w:rPr>
      <w:rFonts w:ascii="Calibri" w:eastAsia="宋体" w:cs="Arial" w:hAnsi="Calibri"/>
      <w:kern w:val="2"/>
      <w:sz w:val="21"/>
      <w:szCs w:val="22"/>
      <w:lang w:val="en-US" w:eastAsia="zh-CN" w:bidi="ar-SA"/>
    </w:rPr>
  </w:style>
  <w:style w:type="paragraph" w:customStyle="1" w:styleId="167">
    <w:name w:val="样式 43 10 磅"/>
    <w:pPr>
      <w:widowControl w:val="0"/>
      <w:jc w:val="both"/>
    </w:pPr>
    <w:rPr>
      <w:rFonts w:ascii="Calibri" w:eastAsia="宋体" w:cs="Arial" w:hAnsi="Calibri"/>
      <w:kern w:val="2"/>
      <w:sz w:val="21"/>
      <w:szCs w:val="22"/>
      <w:lang w:val="en-US" w:eastAsia="zh-CN" w:bidi="ar-SA"/>
    </w:rPr>
  </w:style>
  <w:style w:type="paragraph" w:customStyle="1" w:styleId="168">
    <w:name w:val="样式 44 10 磅"/>
    <w:pPr>
      <w:widowControl w:val="0"/>
      <w:jc w:val="both"/>
    </w:pPr>
    <w:rPr>
      <w:rFonts w:ascii="Calibri" w:eastAsia="宋体" w:cs="Arial" w:hAnsi="Calibri"/>
      <w:kern w:val="2"/>
      <w:sz w:val="21"/>
      <w:szCs w:val="22"/>
      <w:lang w:val="en-US" w:eastAsia="zh-CN" w:bidi="ar-SA"/>
    </w:rPr>
  </w:style>
  <w:style w:type="paragraph" w:customStyle="1" w:styleId="169">
    <w:name w:val="样式 45 10 磅"/>
    <w:pPr>
      <w:widowControl w:val="0"/>
      <w:jc w:val="both"/>
    </w:pPr>
    <w:rPr>
      <w:rFonts w:ascii="Calibri" w:eastAsia="宋体" w:cs="Arial" w:hAnsi="Calibri"/>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228</TotalTime>
  <Application>Yozo_Office</Application>
  <Pages>5</Pages>
  <Words>743</Words>
  <Characters>753</Characters>
  <Lines>60</Lines>
  <Paragraphs>27</Paragraphs>
  <CharactersWithSpaces>754</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PC</dc:creator>
  <cp:lastModifiedBy>黄波</cp:lastModifiedBy>
  <cp:revision>1</cp:revision>
  <dcterms:created xsi:type="dcterms:W3CDTF">2020-10-10T08:54:00Z</dcterms:created>
  <dcterms:modified xsi:type="dcterms:W3CDTF">2020-10-16T02:24:59Z</dcterms:modified>
</cp:coreProperties>
</file>