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附件1</w:t>
      </w:r>
    </w:p>
    <w:tbl>
      <w:tblPr>
        <w:tblStyle w:val="4"/>
        <w:tblpPr w:leftFromText="180" w:rightFromText="180" w:vertAnchor="text" w:horzAnchor="page" w:tblpX="626" w:tblpY="674"/>
        <w:tblOverlap w:val="never"/>
        <w:tblW w:w="15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775"/>
        <w:gridCol w:w="802"/>
        <w:gridCol w:w="2754"/>
        <w:gridCol w:w="2510"/>
        <w:gridCol w:w="1756"/>
        <w:gridCol w:w="3057"/>
        <w:gridCol w:w="680"/>
        <w:gridCol w:w="652"/>
        <w:gridCol w:w="572"/>
        <w:gridCol w:w="639"/>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_GBK" w:hAnsi="方正小标宋_GBK" w:eastAsia="方正小标宋_GBK" w:cs="方正小标宋_GBK"/>
                <w:i w:val="0"/>
                <w:iCs w:val="0"/>
                <w:color w:val="000000"/>
                <w:sz w:val="44"/>
                <w:szCs w:val="44"/>
                <w:u w:val="none"/>
                <w:lang w:val="en-US"/>
              </w:rPr>
            </w:pPr>
            <w:r>
              <w:rPr>
                <w:rFonts w:hint="eastAsia" w:ascii="Times New Roman" w:hAnsi="Times New Roman" w:eastAsia="方正小标宋_GBK" w:cs="Times New Roman"/>
                <w:i w:val="0"/>
                <w:iCs w:val="0"/>
                <w:color w:val="000000"/>
                <w:kern w:val="0"/>
                <w:sz w:val="44"/>
                <w:szCs w:val="44"/>
                <w:u w:val="none"/>
                <w:lang w:val="en-US" w:eastAsia="zh-CN" w:bidi="ar"/>
              </w:rPr>
              <w:t>陇川县市场监督管理局部门</w:t>
            </w:r>
            <w:r>
              <w:rPr>
                <w:rFonts w:hint="default" w:ascii="Times New Roman" w:hAnsi="Times New Roman" w:eastAsia="方正小标宋_GBK" w:cs="Times New Roman"/>
                <w:i w:val="0"/>
                <w:iCs w:val="0"/>
                <w:color w:val="000000"/>
                <w:kern w:val="0"/>
                <w:sz w:val="44"/>
                <w:szCs w:val="44"/>
                <w:u w:val="none"/>
                <w:lang w:val="en-US" w:eastAsia="zh-CN" w:bidi="ar"/>
              </w:rPr>
              <w:t>信息公开基本目录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2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w:t>
            </w:r>
            <w:r>
              <w:rPr>
                <w:rFonts w:hint="eastAsia" w:ascii="Times New Roman" w:hAnsi="Times New Roman" w:eastAsia="方正小标宋_GBK" w:cs="Times New Roman"/>
                <w:i w:val="0"/>
                <w:iCs w:val="0"/>
                <w:color w:val="000000"/>
                <w:kern w:val="0"/>
                <w:sz w:val="20"/>
                <w:szCs w:val="20"/>
                <w:u w:val="none"/>
                <w:lang w:val="en-US" w:eastAsia="zh-CN" w:bidi="ar"/>
              </w:rPr>
              <w:t>股</w:t>
            </w:r>
            <w:r>
              <w:rPr>
                <w:rFonts w:hint="default" w:ascii="Times New Roman" w:hAnsi="Times New Roman" w:eastAsia="方正小标宋_GBK" w:cs="Times New Roman"/>
                <w:i w:val="0"/>
                <w:iCs w:val="0"/>
                <w:color w:val="000000"/>
                <w:kern w:val="0"/>
                <w:sz w:val="20"/>
                <w:szCs w:val="20"/>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bookmarkStart w:id="0" w:name="_GoBack"/>
            <w:bookmarkEnd w:id="0"/>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3"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办公室、法规股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2-4-1预决算公开及三公</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陇川县市场监督管理局</w:t>
            </w:r>
            <w:r>
              <w:rPr>
                <w:rFonts w:hint="default" w:ascii="Times New Roman" w:hAnsi="Times New Roman" w:eastAsia="宋体" w:cs="Times New Roman"/>
                <w:i w:val="0"/>
                <w:iCs w:val="0"/>
                <w:color w:val="000000"/>
                <w:kern w:val="0"/>
                <w:sz w:val="16"/>
                <w:szCs w:val="16"/>
                <w:u w:val="none"/>
                <w:lang w:val="en-US" w:eastAsia="zh-CN" w:bidi="ar"/>
              </w:rPr>
              <w:t>年度预算、决算</w:t>
            </w:r>
            <w:r>
              <w:rPr>
                <w:rFonts w:hint="eastAsia" w:ascii="Times New Roman" w:hAnsi="Times New Roman" w:eastAsia="宋体" w:cs="Times New Roman"/>
                <w:i w:val="0"/>
                <w:iCs w:val="0"/>
                <w:color w:val="000000"/>
                <w:kern w:val="0"/>
                <w:sz w:val="16"/>
                <w:szCs w:val="16"/>
                <w:u w:val="none"/>
                <w:lang w:val="en-US" w:eastAsia="zh-CN" w:bidi="ar"/>
              </w:rPr>
              <w:t>及“三公”经费</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科技与计财股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2-4-</w:t>
            </w:r>
            <w:r>
              <w:rPr>
                <w:rFonts w:hint="eastAsia" w:ascii="Times New Roman" w:hAnsi="Times New Roman" w:eastAsia="宋体" w:cs="Times New Roman"/>
                <w:i w:val="0"/>
                <w:iCs w:val="0"/>
                <w:color w:val="000000"/>
                <w:kern w:val="0"/>
                <w:sz w:val="16"/>
                <w:szCs w:val="16"/>
                <w:u w:val="none"/>
                <w:lang w:val="en-US" w:eastAsia="zh-CN" w:bidi="ar"/>
              </w:rPr>
              <w:t>2食品药品安全信息公开</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1.</w:t>
            </w:r>
            <w:r>
              <w:rPr>
                <w:rFonts w:hint="default" w:ascii="Times New Roman" w:hAnsi="Times New Roman" w:eastAsia="宋体" w:cs="Times New Roman"/>
                <w:i w:val="0"/>
                <w:iCs w:val="0"/>
                <w:color w:val="000000"/>
                <w:kern w:val="0"/>
                <w:sz w:val="16"/>
                <w:szCs w:val="16"/>
                <w:u w:val="none"/>
                <w:lang w:val="en-US" w:eastAsia="zh-CN" w:bidi="ar"/>
              </w:rPr>
              <w:t>食品</w:t>
            </w:r>
            <w:r>
              <w:rPr>
                <w:rFonts w:hint="eastAsia" w:ascii="Times New Roman" w:hAnsi="Times New Roman" w:eastAsia="宋体" w:cs="Times New Roman"/>
                <w:i w:val="0"/>
                <w:iCs w:val="0"/>
                <w:color w:val="000000"/>
                <w:kern w:val="0"/>
                <w:sz w:val="16"/>
                <w:szCs w:val="16"/>
                <w:u w:val="none"/>
                <w:lang w:val="en-US" w:eastAsia="zh-CN" w:bidi="ar"/>
              </w:rPr>
              <w:t>、药品</w:t>
            </w:r>
            <w:r>
              <w:rPr>
                <w:rFonts w:hint="default" w:ascii="Times New Roman" w:hAnsi="Times New Roman" w:eastAsia="宋体" w:cs="Times New Roman"/>
                <w:i w:val="0"/>
                <w:iCs w:val="0"/>
                <w:color w:val="000000"/>
                <w:kern w:val="0"/>
                <w:sz w:val="16"/>
                <w:szCs w:val="16"/>
                <w:u w:val="none"/>
                <w:lang w:val="en-US" w:eastAsia="zh-CN" w:bidi="ar"/>
              </w:rPr>
              <w:t>安全</w:t>
            </w:r>
            <w:r>
              <w:rPr>
                <w:rFonts w:hint="eastAsia" w:ascii="Times New Roman" w:hAnsi="Times New Roman" w:eastAsia="宋体" w:cs="Times New Roman"/>
                <w:i w:val="0"/>
                <w:iCs w:val="0"/>
                <w:color w:val="000000"/>
                <w:sz w:val="16"/>
                <w:szCs w:val="16"/>
                <w:u w:val="none"/>
                <w:lang w:val="en-US" w:eastAsia="zh-CN"/>
              </w:rPr>
              <w:t>标准及政策法规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2.</w:t>
            </w:r>
            <w:r>
              <w:rPr>
                <w:rFonts w:hint="default" w:ascii="Times New Roman" w:hAnsi="Times New Roman" w:eastAsia="宋体" w:cs="Times New Roman"/>
                <w:i w:val="0"/>
                <w:iCs w:val="0"/>
                <w:color w:val="000000"/>
                <w:kern w:val="0"/>
                <w:sz w:val="16"/>
                <w:szCs w:val="16"/>
                <w:u w:val="none"/>
                <w:lang w:val="en-US" w:eastAsia="zh-CN" w:bidi="ar"/>
              </w:rPr>
              <w:t>不合格食品</w:t>
            </w:r>
            <w:r>
              <w:rPr>
                <w:rFonts w:hint="eastAsia" w:ascii="Times New Roman" w:hAnsi="Times New Roman" w:eastAsia="宋体" w:cs="Times New Roman"/>
                <w:i w:val="0"/>
                <w:iCs w:val="0"/>
                <w:color w:val="000000"/>
                <w:kern w:val="0"/>
                <w:sz w:val="16"/>
                <w:szCs w:val="16"/>
                <w:u w:val="none"/>
                <w:lang w:val="en-US" w:eastAsia="zh-CN" w:bidi="ar"/>
              </w:rPr>
              <w:t>、药品</w:t>
            </w:r>
            <w:r>
              <w:rPr>
                <w:rFonts w:hint="default" w:ascii="Times New Roman" w:hAnsi="Times New Roman" w:eastAsia="宋体" w:cs="Times New Roman"/>
                <w:i w:val="0"/>
                <w:iCs w:val="0"/>
                <w:color w:val="000000"/>
                <w:kern w:val="0"/>
                <w:sz w:val="16"/>
                <w:szCs w:val="16"/>
                <w:u w:val="none"/>
                <w:lang w:val="en-US" w:eastAsia="zh-CN" w:bidi="ar"/>
              </w:rPr>
              <w:t>风险控制和核查处置等相关内容</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适时更新</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食品股、药械股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2-4-3产品质量信息公开</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产品安全质量检测信息</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不合格产品、产品风险控制和核查处置等相关内容。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产品质量标准及政策法规</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适时更新</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质监股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7"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2-4-4行政许可</w:t>
            </w:r>
            <w:r>
              <w:rPr>
                <w:rFonts w:hint="default" w:ascii="Times New Roman" w:hAnsi="Times New Roman" w:eastAsia="宋体" w:cs="Times New Roman"/>
                <w:i w:val="0"/>
                <w:iCs w:val="0"/>
                <w:color w:val="000000"/>
                <w:sz w:val="16"/>
                <w:szCs w:val="16"/>
                <w:u w:val="none"/>
              </w:rPr>
              <w:t xml:space="preserve">  </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重要法规政策宣传</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行政执法主体、行政许可</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《中华人民共和国政府信息公开条例》《云南省人民政府办公厅关于印发云南省行政执法公示办法和云南省行政执法全过程记录办法的通知》（云政办规〔2019〕4号）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适时更新</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2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2-4-5行政处罚和行政强制</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eastAsia" w:ascii="Times New Roman" w:hAnsi="Times New Roman" w:eastAsia="宋体" w:cs="Times New Roman"/>
                <w:i w:val="0"/>
                <w:iCs w:val="0"/>
                <w:color w:val="000000"/>
                <w:kern w:val="0"/>
                <w:sz w:val="16"/>
                <w:szCs w:val="16"/>
                <w:u w:val="none"/>
                <w:lang w:val="en-US" w:eastAsia="zh-CN" w:bidi="ar"/>
              </w:rPr>
              <w:t>1</w:t>
            </w:r>
            <w:r>
              <w:rPr>
                <w:rFonts w:hint="default" w:ascii="Times New Roman" w:hAnsi="Times New Roman" w:eastAsia="宋体" w:cs="Times New Roman"/>
                <w:i w:val="0"/>
                <w:iCs w:val="0"/>
                <w:color w:val="000000"/>
                <w:kern w:val="0"/>
                <w:sz w:val="16"/>
                <w:szCs w:val="16"/>
                <w:u w:val="none"/>
                <w:lang w:val="en-US" w:eastAsia="zh-CN" w:bidi="ar"/>
              </w:rPr>
              <w:t>.行政执法主体、行政执法依据、行政执法程序、权责清单、行政许可、行政管理、行政处罚、行政复议、行政强制、行政诉讼</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《中华人民共和国政府信息公开条例》《云南省人民政府办公厅关于印发云南省行政执法公示办法和云南省行政执法全过程记录办法的通知》（云政办规〔2019〕4号）</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适时更新</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各行政执法股室（所）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2-4-6食品药品监管</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1.</w:t>
            </w:r>
            <w:r>
              <w:rPr>
                <w:rFonts w:hint="default" w:ascii="Times New Roman" w:hAnsi="Times New Roman" w:eastAsia="宋体" w:cs="Times New Roman"/>
                <w:i w:val="0"/>
                <w:iCs w:val="0"/>
                <w:color w:val="000000"/>
                <w:kern w:val="0"/>
                <w:sz w:val="16"/>
                <w:szCs w:val="16"/>
                <w:u w:val="none"/>
                <w:lang w:val="en-US" w:eastAsia="zh-CN" w:bidi="ar"/>
              </w:rPr>
              <w:t>食品</w:t>
            </w:r>
            <w:r>
              <w:rPr>
                <w:rFonts w:hint="eastAsia" w:ascii="Times New Roman" w:hAnsi="Times New Roman" w:eastAsia="宋体" w:cs="Times New Roman"/>
                <w:i w:val="0"/>
                <w:iCs w:val="0"/>
                <w:color w:val="000000"/>
                <w:kern w:val="0"/>
                <w:sz w:val="16"/>
                <w:szCs w:val="16"/>
                <w:u w:val="none"/>
                <w:lang w:val="en-US" w:eastAsia="zh-CN" w:bidi="ar"/>
              </w:rPr>
              <w:t>、药品</w:t>
            </w:r>
            <w:r>
              <w:rPr>
                <w:rFonts w:hint="default" w:ascii="Times New Roman" w:hAnsi="Times New Roman" w:eastAsia="宋体" w:cs="Times New Roman"/>
                <w:i w:val="0"/>
                <w:iCs w:val="0"/>
                <w:color w:val="000000"/>
                <w:kern w:val="0"/>
                <w:sz w:val="16"/>
                <w:szCs w:val="16"/>
                <w:u w:val="none"/>
                <w:lang w:val="en-US" w:eastAsia="zh-CN" w:bidi="ar"/>
              </w:rPr>
              <w:t>安全监督抽检信息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2.</w:t>
            </w:r>
            <w:r>
              <w:rPr>
                <w:rFonts w:hint="default" w:ascii="Times New Roman" w:hAnsi="Times New Roman" w:eastAsia="宋体" w:cs="Times New Roman"/>
                <w:i w:val="0"/>
                <w:iCs w:val="0"/>
                <w:color w:val="000000"/>
                <w:kern w:val="0"/>
                <w:sz w:val="16"/>
                <w:szCs w:val="16"/>
                <w:u w:val="none"/>
                <w:lang w:val="en-US" w:eastAsia="zh-CN" w:bidi="ar"/>
              </w:rPr>
              <w:t>不合格食品</w:t>
            </w:r>
            <w:r>
              <w:rPr>
                <w:rFonts w:hint="eastAsia" w:ascii="Times New Roman" w:hAnsi="Times New Roman" w:eastAsia="宋体" w:cs="Times New Roman"/>
                <w:i w:val="0"/>
                <w:iCs w:val="0"/>
                <w:color w:val="000000"/>
                <w:kern w:val="0"/>
                <w:sz w:val="16"/>
                <w:szCs w:val="16"/>
                <w:u w:val="none"/>
                <w:lang w:val="en-US" w:eastAsia="zh-CN" w:bidi="ar"/>
              </w:rPr>
              <w:t>、药品</w:t>
            </w:r>
            <w:r>
              <w:rPr>
                <w:rFonts w:hint="default" w:ascii="Times New Roman" w:hAnsi="Times New Roman" w:eastAsia="宋体" w:cs="Times New Roman"/>
                <w:i w:val="0"/>
                <w:iCs w:val="0"/>
                <w:color w:val="000000"/>
                <w:kern w:val="0"/>
                <w:sz w:val="16"/>
                <w:szCs w:val="16"/>
                <w:u w:val="none"/>
                <w:lang w:val="en-US" w:eastAsia="zh-CN" w:bidi="ar"/>
              </w:rPr>
              <w:t>风险控制和核查处置等相关内容</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信息产生或变更之日起20个工作日内公开（相关法律法规另有规定的，从其规定）</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食品股、药械股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r>
              <w:rPr>
                <w:rFonts w:hint="eastAsia" w:ascii="Times New Roman" w:hAnsi="Times New Roman" w:eastAsia="宋体" w:cs="Times New Roman"/>
                <w:i w:val="0"/>
                <w:iCs w:val="0"/>
                <w:color w:val="000000"/>
                <w:kern w:val="0"/>
                <w:sz w:val="16"/>
                <w:szCs w:val="16"/>
                <w:u w:val="none"/>
                <w:lang w:val="en-US" w:eastAsia="zh-CN" w:bidi="ar"/>
              </w:rPr>
              <w:t xml:space="preserve"> </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5"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实时公开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775"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r>
    </w:tbl>
    <w:p>
      <w:pPr>
        <w:rPr>
          <w:sz w:val="20"/>
          <w:szCs w:val="20"/>
        </w:rPr>
      </w:pPr>
    </w:p>
    <w:p>
      <w:pPr>
        <w:numPr>
          <w:ilvl w:val="0"/>
          <w:numId w:val="0"/>
        </w:numPr>
        <w:rPr>
          <w:rFonts w:hint="eastAsia" w:ascii="宋体" w:hAnsi="宋体" w:eastAsia="宋体" w:cs="宋体"/>
          <w:sz w:val="20"/>
          <w:szCs w:val="20"/>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6F28"/>
    <w:multiLevelType w:val="singleLevel"/>
    <w:tmpl w:val="05706F28"/>
    <w:lvl w:ilvl="0" w:tentative="0">
      <w:start w:val="1"/>
      <w:numFmt w:val="decimal"/>
      <w:lvlText w:val="%1."/>
      <w:lvlJc w:val="left"/>
      <w:pPr>
        <w:tabs>
          <w:tab w:val="left" w:pos="312"/>
        </w:tabs>
      </w:pPr>
    </w:lvl>
  </w:abstractNum>
  <w:abstractNum w:abstractNumId="1">
    <w:nsid w:val="18162EEC"/>
    <w:multiLevelType w:val="singleLevel"/>
    <w:tmpl w:val="18162EE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9685F"/>
    <w:rsid w:val="06D41AB8"/>
    <w:rsid w:val="098F60D2"/>
    <w:rsid w:val="09D74D83"/>
    <w:rsid w:val="09EB33D9"/>
    <w:rsid w:val="0A3E7867"/>
    <w:rsid w:val="0BD66287"/>
    <w:rsid w:val="0C645532"/>
    <w:rsid w:val="0CF634FF"/>
    <w:rsid w:val="0F645B11"/>
    <w:rsid w:val="14325268"/>
    <w:rsid w:val="16414ADB"/>
    <w:rsid w:val="167B65A8"/>
    <w:rsid w:val="17823524"/>
    <w:rsid w:val="19A62C81"/>
    <w:rsid w:val="1AC4199B"/>
    <w:rsid w:val="1ADD3FB9"/>
    <w:rsid w:val="1B197D84"/>
    <w:rsid w:val="1E3A656E"/>
    <w:rsid w:val="1F3B4649"/>
    <w:rsid w:val="23B51453"/>
    <w:rsid w:val="267D53F7"/>
    <w:rsid w:val="27FA3145"/>
    <w:rsid w:val="29D047F3"/>
    <w:rsid w:val="29E22F0B"/>
    <w:rsid w:val="2C016850"/>
    <w:rsid w:val="2E004C17"/>
    <w:rsid w:val="2EE36BDB"/>
    <w:rsid w:val="31BB1C5B"/>
    <w:rsid w:val="33A153B8"/>
    <w:rsid w:val="34A338DD"/>
    <w:rsid w:val="371E7404"/>
    <w:rsid w:val="38116553"/>
    <w:rsid w:val="39DB4C17"/>
    <w:rsid w:val="3AED40C3"/>
    <w:rsid w:val="3BB36F43"/>
    <w:rsid w:val="3CD4148F"/>
    <w:rsid w:val="3FAA7571"/>
    <w:rsid w:val="3FDF560F"/>
    <w:rsid w:val="41CD2691"/>
    <w:rsid w:val="46C33D05"/>
    <w:rsid w:val="4963095D"/>
    <w:rsid w:val="4A816C8E"/>
    <w:rsid w:val="4D8B224E"/>
    <w:rsid w:val="5415011C"/>
    <w:rsid w:val="54D64BCC"/>
    <w:rsid w:val="5A0C46C2"/>
    <w:rsid w:val="5E1C181F"/>
    <w:rsid w:val="5F323DCA"/>
    <w:rsid w:val="61F20926"/>
    <w:rsid w:val="62DD1EF9"/>
    <w:rsid w:val="64BF3CBB"/>
    <w:rsid w:val="65015B4D"/>
    <w:rsid w:val="65B855B3"/>
    <w:rsid w:val="684D6087"/>
    <w:rsid w:val="6B060955"/>
    <w:rsid w:val="6EE073C4"/>
    <w:rsid w:val="71DA3423"/>
    <w:rsid w:val="73BA4C60"/>
    <w:rsid w:val="75625566"/>
    <w:rsid w:val="75785F3D"/>
    <w:rsid w:val="763D0EA7"/>
    <w:rsid w:val="76A536AB"/>
    <w:rsid w:val="77737D46"/>
    <w:rsid w:val="7C9CE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2751</Words>
  <Characters>2837</Characters>
  <Lines>0</Lines>
  <Paragraphs>0</Paragraphs>
  <TotalTime>4</TotalTime>
  <ScaleCrop>false</ScaleCrop>
  <LinksUpToDate>false</LinksUpToDate>
  <CharactersWithSpaces>3378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2022-10-19T16:58:00Z</dcterms:created>
  <dc:creator>admin</dc:creator>
  <cp:lastModifiedBy>Administrator</cp:lastModifiedBy>
  <cp:lastPrinted>2022-10-20T09:25:00Z</cp:lastPrinted>
  <dcterms:modified xsi:type="dcterms:W3CDTF">2023-07-11T01:27:46Z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