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陇川县市场监督管理局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年第44期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shd w:val="clear" w:color="auto" w:fill="FFFFFF"/>
        </w:rPr>
        <w:t>食品安全监督抽检信息通告</w:t>
      </w:r>
    </w:p>
    <w:p>
      <w:pPr>
        <w:pStyle w:val="4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简体"/>
          <w:snapToGrid w:val="0"/>
          <w:sz w:val="32"/>
          <w:szCs w:val="32"/>
        </w:rPr>
      </w:pP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根据《中华人民共和国食品安全法》及其《食品安全监督抽检和风险监测工作规范》等规定，现将</w:t>
      </w:r>
      <w:r>
        <w:rPr>
          <w:rFonts w:hint="default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陇川县市场监督管理局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第44期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食品安全监督抽检信息通告如下：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本期公布的食品安全监督抽检产品为：</w:t>
      </w:r>
    </w:p>
    <w:p>
      <w:pPr>
        <w:pStyle w:val="4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茶叶及相关制品，抽检依据GB 2763-2019《食品安全国家标准 食品中农药最大残留限量》, GB 2762-2017《食品安全国家标准 食品中污染物限量》等标准及产品明示标准的要求。抽检项目包括草甘膦、敌百虫、克百威、铅(以Pb计)等指标。通告合格样品2批次。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淀粉及淀粉制品，抽检依据</w:t>
      </w:r>
      <w:r>
        <w:rPr>
          <w:rFonts w:ascii="Helvetica" w:hAnsi="Helvetic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2760-2014《食品安全国家标准 食品添加剂使用标准》等标准及产品明示标准的要求 。抽检项目包括二氧化硫残留量，铝的残留量(干样品，以Al计)等指标。通告合格样品1批次。</w:t>
      </w:r>
    </w:p>
    <w:p>
      <w:pPr>
        <w:pStyle w:val="4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简体"/>
          <w:snapToGrid w:val="0"/>
          <w:color w:val="FF000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豆制品，抽检依据GB 2762-2017《食品安全国家标准 食品中污染物限量》，GB 2760-2014《食品安全国家标准 食品添加剂使用标准》等标准及产品明示标准的要求。抽检项目包括铅(以 Pb计)，苯甲酸及其钠盐(以苯甲酸计)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，铝的残留量(干样品，以Al 计)等指标。通告合格样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品2批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次。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4.</w:t>
      </w:r>
      <w:r>
        <w:t xml:space="preserve"> 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罐头，抽检依据合GB 2760-2014《食品安全国家标准 食品添加剂使用标准》等标准及产品明示标准的要求。抽检项目包括脱氢乙酸及其钠盐(以脱氢乙酸计)，甜蜜素(以环己基氨基磺酸计)，阿斯巴甜等指标。通告合格样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品1批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次。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5.</w:t>
      </w:r>
      <w:r>
        <w:t xml:space="preserve"> 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水果制品，抽检依据GB 2760-2014《食品安全国家标准 食品添加剂使用标准》等标准及产品明示标准的要求。抽检项目包括糖精钠(以糖精计)，甜蜜素(以环己基氨基磺酸计)等指标。通告合格样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品1批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次。</w:t>
      </w:r>
    </w:p>
    <w:p>
      <w:pPr>
        <w:pStyle w:val="4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6.</w:t>
      </w:r>
      <w:r>
        <w:t xml:space="preserve"> 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调味品，抽检依据GB 2760-2014《食品安全国家标准 食品添加剂使用标准》、GB/T 20560-2006《地理标志产品 郫县豆瓣》，GB 2761-2017《食品安全国家标准 食品中真菌毒素限量》等标准及产品明示标准的要求。抽检项目包括氨基酸态氮(以氮计)，黄曲霉毒素B</w:t>
      </w:r>
      <w:r>
        <w:rPr>
          <w:rFonts w:hint="default" w:ascii="Cambria Math" w:hAnsi="Cambria Math" w:eastAsia="方正仿宋简体" w:cs="Cambria Math"/>
          <w:snapToGrid w:val="0"/>
          <w:sz w:val="32"/>
          <w:szCs w:val="32"/>
        </w:rPr>
        <w:t>₁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等指标。通告合格样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品5批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次。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共通告合格样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品12批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次。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ind w:left="1598" w:leftChars="304" w:hanging="960" w:hangingChars="300"/>
        <w:rPr>
          <w:rFonts w:ascii="Times New Roman" w:hAnsi="方正仿宋简体" w:eastAsia="方正仿宋简体" w:cs="方正仿宋简体"/>
          <w:snapToGrid w:val="0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附件：食品抽检合格</w:t>
      </w:r>
      <w:r>
        <w:rPr>
          <w:rFonts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方正仿宋简体" w:cs="Times New Roman"/>
          <w:snapToGrid w:val="0"/>
          <w:kern w:val="0"/>
          <w:sz w:val="32"/>
          <w:szCs w:val="32"/>
          <w:shd w:val="clear" w:color="auto" w:fill="FFFFFF"/>
        </w:rPr>
        <w:t>2020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09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日-</w:t>
      </w:r>
      <w:r>
        <w:rPr>
          <w:rFonts w:hint="eastAsia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茶叶及相关制品、</w:t>
      </w:r>
      <w:bookmarkStart w:id="0" w:name="_GoBack"/>
      <w:bookmarkEnd w:id="0"/>
      <w:r>
        <w:rPr>
          <w:rFonts w:hint="eastAsia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淀粉及淀粉制品、豆制品、</w:t>
      </w:r>
      <w:r>
        <w:rPr>
          <w:rFonts w:hint="eastAsia" w:ascii="Times New Roman" w:hAnsi="Times New Roman" w:eastAsia="方正仿宋简体"/>
          <w:snapToGrid w:val="0"/>
          <w:sz w:val="32"/>
          <w:szCs w:val="32"/>
        </w:rPr>
        <w:t>罐头、水果制品、调味品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方正仿宋简体" w:eastAsia="方正仿宋简体" w:cs="方正仿宋简体"/>
          <w:snapToGrid w:val="0"/>
          <w:color w:val="FF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方正仿宋简体" w:eastAsia="方正仿宋简体" w:cs="方正仿宋简体"/>
          <w:snapToGrid w:val="0"/>
          <w:color w:val="FF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ind w:firstLine="5120" w:firstLineChars="16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陇川县市场监督管理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局</w:t>
      </w:r>
    </w:p>
    <w:p>
      <w:pPr>
        <w:widowControl/>
        <w:shd w:val="clear" w:color="auto" w:fill="FFFFFF"/>
        <w:spacing w:line="500" w:lineRule="exact"/>
        <w:ind w:firstLine="5440" w:firstLineChars="17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2020年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09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日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（公开属性：主动公开）</w:t>
      </w:r>
    </w:p>
    <w:sectPr>
      <w:pgSz w:w="12240" w:h="15840"/>
      <w:pgMar w:top="1440" w:right="1587" w:bottom="1440" w:left="1587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36"/>
    <w:rsid w:val="002F0A5C"/>
    <w:rsid w:val="00343DF1"/>
    <w:rsid w:val="004342C5"/>
    <w:rsid w:val="00473E63"/>
    <w:rsid w:val="005B0D0C"/>
    <w:rsid w:val="00766162"/>
    <w:rsid w:val="007D7750"/>
    <w:rsid w:val="00801D08"/>
    <w:rsid w:val="00820EE7"/>
    <w:rsid w:val="00825A87"/>
    <w:rsid w:val="00851FE4"/>
    <w:rsid w:val="0087330D"/>
    <w:rsid w:val="00886179"/>
    <w:rsid w:val="0091064C"/>
    <w:rsid w:val="00956098"/>
    <w:rsid w:val="00A02362"/>
    <w:rsid w:val="00A172B7"/>
    <w:rsid w:val="00A31836"/>
    <w:rsid w:val="00A93E4E"/>
    <w:rsid w:val="00AB4F0B"/>
    <w:rsid w:val="00B77EFD"/>
    <w:rsid w:val="00BB4DEF"/>
    <w:rsid w:val="00C141A5"/>
    <w:rsid w:val="00C20C19"/>
    <w:rsid w:val="00CF3C5C"/>
    <w:rsid w:val="00D557FA"/>
    <w:rsid w:val="00DC167E"/>
    <w:rsid w:val="00ED2347"/>
    <w:rsid w:val="00FA24F8"/>
    <w:rsid w:val="0D600A11"/>
    <w:rsid w:val="0E094434"/>
    <w:rsid w:val="1BAD1A8E"/>
    <w:rsid w:val="31440129"/>
    <w:rsid w:val="35FB05A1"/>
    <w:rsid w:val="3C8A4915"/>
    <w:rsid w:val="3DD327D0"/>
    <w:rsid w:val="42D75B3E"/>
    <w:rsid w:val="4587039B"/>
    <w:rsid w:val="51042308"/>
    <w:rsid w:val="57A12245"/>
    <w:rsid w:val="5E255009"/>
    <w:rsid w:val="601D2204"/>
    <w:rsid w:val="6A9C1894"/>
    <w:rsid w:val="6D5B4239"/>
    <w:rsid w:val="79524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149</Words>
  <Characters>854</Characters>
  <Lines>7</Lines>
  <Paragraphs>2</Paragraphs>
  <TotalTime>29</TotalTime>
  <ScaleCrop>false</ScaleCrop>
  <LinksUpToDate>false</LinksUpToDate>
  <CharactersWithSpaces>1001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2019-08-17T09:15:00Z</dcterms:created>
  <dc:creator>Administrator.AEOFY-506202116</dc:creator>
  <cp:lastModifiedBy>啊啊啊啊兰</cp:lastModifiedBy>
  <dcterms:modified xsi:type="dcterms:W3CDTF">2020-09-14T05:39:55Z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