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2763-2016）、《食品安全国家标准 食品中真菌毒素限量》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GB 2761-2017</w:t>
      </w:r>
      <w:r>
        <w:rPr>
          <w:rFonts w:hint="eastAsia"/>
          <w:sz w:val="24"/>
          <w:szCs w:val="24"/>
          <w:lang w:eastAsia="zh-CN"/>
        </w:rPr>
        <w:t>）、《食品安全国家标准 食品中黄曲霉毒素B族和G族的测定》（GB 5009.22-2016）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毒死蜱、氟虫腈、啶虫脒</w:t>
      </w:r>
      <w:r>
        <w:rPr>
          <w:rFonts w:hint="eastAsia"/>
          <w:sz w:val="24"/>
          <w:szCs w:val="24"/>
          <w:lang w:eastAsia="zh-CN"/>
        </w:rPr>
        <w:t>）、真菌毒素（</w:t>
      </w:r>
      <w:r>
        <w:rPr>
          <w:rFonts w:hint="eastAsia"/>
          <w:sz w:val="24"/>
          <w:szCs w:val="24"/>
        </w:rPr>
        <w:t>黄曲霉毒素B</w:t>
      </w:r>
      <w:r>
        <w:rPr>
          <w:rFonts w:hint="eastAsia"/>
          <w:sz w:val="24"/>
          <w:szCs w:val="24"/>
          <w:vertAlign w:val="subscript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</w:t>
            </w:r>
            <w:bookmarkStart w:id="0" w:name="_GoBack"/>
            <w:bookmarkEnd w:id="0"/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P53312419050005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董翠全蔬菜摊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普通白菜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杨庆义杂货铺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红花生仁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生干坚果与籽类食品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（生干籽类）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杨庆义杂货铺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白花生仁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生干坚果与籽类食品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（生干籽类）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杨庆义杂货铺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生瓜子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生干坚果与籽类食品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（生干籽类）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3EE62D1"/>
    <w:rsid w:val="0BCE6419"/>
    <w:rsid w:val="19612373"/>
    <w:rsid w:val="236964F8"/>
    <w:rsid w:val="27D71645"/>
    <w:rsid w:val="2A2E2DCA"/>
    <w:rsid w:val="2F692438"/>
    <w:rsid w:val="498067E8"/>
    <w:rsid w:val="4FC964C4"/>
    <w:rsid w:val="519A2FE7"/>
    <w:rsid w:val="529E4CEC"/>
    <w:rsid w:val="55DB469E"/>
    <w:rsid w:val="621B1AD0"/>
    <w:rsid w:val="71FB2223"/>
    <w:rsid w:val="724B2EE0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2019-07-16T03:39:16Z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