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黑体_GBK" w:cs="Times New Roman"/>
          <w:color w:val="auto"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w w:val="95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w w:val="95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  <w:t>德宏州文字解读材料参考模板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w w:val="95"/>
          <w:sz w:val="32"/>
          <w:szCs w:val="32"/>
          <w:lang w:val="en-US" w:eastAsia="zh-CN"/>
        </w:rPr>
        <w:t>表述式解读模板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" w:firstLineChars="200"/>
        <w:jc w:val="both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32"/>
          <w:lang w:val="en-US" w:eastAsia="zh-CN"/>
        </w:rPr>
        <w:t>日前，XXX办公室印发了《XXX》。为便于各地各部门抓好贯彻落实和社会公众更好理解文件内容，现将文件解读如下：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eastAsia="zh-CN"/>
        </w:rPr>
        <w:t>出台背景依据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eastAsia="zh-CN"/>
        </w:rPr>
        <w:t>目标任务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  <w:t>三、主要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eastAsia="zh-CN"/>
        </w:rPr>
        <w:t>内容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  <w:t>及核心举措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  <w:t>四、与上级文件的异同或新旧文件差异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val="en-US" w:eastAsia="zh-CN"/>
        </w:rPr>
        <w:t>五、专业术语诠释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w w:val="95"/>
          <w:sz w:val="32"/>
          <w:szCs w:val="32"/>
          <w:lang w:val="en-US" w:eastAsia="zh-CN"/>
        </w:rPr>
        <w:t>问答式解读模板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  <w:t>政策措施的背景依据、目标任务是什么？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lang w:eastAsia="zh-CN"/>
        </w:rPr>
        <w:t>二、影响范围是哪些？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  <w:t>二、有哪些惠民措施？如何申请？需要注意哪些事项？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  <w:t>三、执行时间、执行程序、执行标准是什么？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  <w:t>四、采取哪些措施保障政策顺利实施？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  <w:t>五、与上级文件有何异同？新旧政策有何差异？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/>
          <w:color w:val="auto"/>
          <w:szCs w:val="32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>注：此文字解读模板仅为参考，可结合工作实际扩展解读内容，二者选其一即可。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B00EAF"/>
    <w:multiLevelType w:val="singleLevel"/>
    <w:tmpl w:val="D8B00E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BED250"/>
    <w:multiLevelType w:val="singleLevel"/>
    <w:tmpl w:val="53BED2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44E78"/>
    <w:rsid w:val="2614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2023-04-10T07:09:00Z</dcterms:created>
  <dc:creator>gkb</dc:creator>
  <cp:lastModifiedBy>gkb</cp:lastModifiedBy>
  <dcterms:modified xsi:type="dcterms:W3CDTF">2023-04-10T07:09:30Z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