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华文中宋" w:hAnsi="华文中宋" w:eastAsia="华文中宋"/>
          <w:sz w:val="32"/>
          <w:szCs w:val="32"/>
        </w:rPr>
      </w:pPr>
      <w:bookmarkStart w:id="0" w:name="第七部分部门决算分析报告撰写提纲"/>
    </w:p>
    <w:p>
      <w:pPr>
        <w:snapToGrid w:val="0"/>
        <w:spacing w:line="360" w:lineRule="auto"/>
        <w:jc w:val="center"/>
        <w:rPr>
          <w:rFonts w:hint="eastAsia" w:ascii="宋体" w:hAnsi="宋体" w:cs="宋体"/>
          <w:b/>
          <w:sz w:val="44"/>
          <w:szCs w:val="44"/>
        </w:rPr>
      </w:pPr>
      <w:r>
        <w:rPr>
          <w:rFonts w:hint="eastAsia" w:ascii="宋体" w:hAnsi="宋体" w:cs="宋体"/>
          <w:b/>
          <w:sz w:val="44"/>
          <w:szCs w:val="44"/>
        </w:rPr>
        <w:t>陇川县人力资源和社会保障局2015年度</w:t>
      </w:r>
    </w:p>
    <w:p>
      <w:pPr>
        <w:snapToGrid w:val="0"/>
        <w:spacing w:line="360" w:lineRule="auto"/>
        <w:jc w:val="center"/>
        <w:rPr>
          <w:rFonts w:hint="eastAsia" w:ascii="华文中宋" w:hAnsi="华文中宋" w:eastAsia="华文中宋"/>
          <w:b/>
          <w:sz w:val="44"/>
          <w:szCs w:val="44"/>
        </w:rPr>
      </w:pPr>
      <w:r>
        <w:rPr>
          <w:rFonts w:hint="eastAsia" w:ascii="宋体" w:hAnsi="宋体" w:cs="宋体"/>
          <w:b/>
          <w:sz w:val="44"/>
          <w:szCs w:val="44"/>
        </w:rPr>
        <w:t>部门决算公开说明</w:t>
      </w:r>
    </w:p>
    <w:p>
      <w:pPr>
        <w:snapToGrid w:val="0"/>
        <w:spacing w:line="360" w:lineRule="auto"/>
        <w:jc w:val="center"/>
        <w:rPr>
          <w:rFonts w:hint="eastAsia" w:ascii="黑体" w:eastAsia="黑体"/>
          <w:sz w:val="44"/>
          <w:szCs w:val="44"/>
        </w:rPr>
      </w:pPr>
    </w:p>
    <w:bookmarkEnd w:id="0"/>
    <w:p>
      <w:pPr>
        <w:snapToGrid w:val="0"/>
        <w:spacing w:line="360" w:lineRule="auto"/>
        <w:rPr>
          <w:rFonts w:hint="eastAsia"/>
          <w:sz w:val="32"/>
          <w:szCs w:val="32"/>
        </w:rPr>
      </w:pPr>
    </w:p>
    <w:p>
      <w:pPr>
        <w:spacing w:line="360" w:lineRule="auto"/>
        <w:ind w:firstLine="643" w:firstLineChars="200"/>
        <w:jc w:val="left"/>
        <w:rPr>
          <w:rFonts w:ascii="黑体" w:hAnsi="黑体" w:eastAsia="黑体"/>
          <w:b/>
          <w:sz w:val="32"/>
          <w:szCs w:val="32"/>
        </w:rPr>
      </w:pPr>
      <w:r>
        <w:rPr>
          <w:rFonts w:hint="eastAsia" w:ascii="黑体" w:hAnsi="黑体" w:eastAsia="黑体"/>
          <w:b/>
          <w:sz w:val="32"/>
          <w:szCs w:val="32"/>
        </w:rPr>
        <w:t>第一部分  陇川县人力资源和社会保障局概况</w:t>
      </w:r>
    </w:p>
    <w:p>
      <w:pPr>
        <w:spacing w:line="360" w:lineRule="auto"/>
        <w:ind w:firstLine="640" w:firstLineChars="200"/>
        <w:outlineLvl w:val="0"/>
        <w:rPr>
          <w:rFonts w:hint="eastAsia" w:ascii="仿宋_GB2312" w:hAnsi="仿宋" w:eastAsia="仿宋_GB2312"/>
          <w:sz w:val="32"/>
          <w:szCs w:val="32"/>
        </w:rPr>
      </w:pPr>
      <w:r>
        <w:rPr>
          <w:rFonts w:hint="eastAsia" w:ascii="楷体_GB2312" w:hAnsi="仿宋" w:eastAsia="楷体_GB2312"/>
          <w:sz w:val="32"/>
          <w:szCs w:val="32"/>
        </w:rPr>
        <w:t>一、</w:t>
      </w:r>
      <w:r>
        <w:rPr>
          <w:rFonts w:hint="eastAsia" w:ascii="仿宋_GB2312" w:hAnsi="仿宋" w:eastAsia="仿宋_GB2312"/>
          <w:sz w:val="32"/>
          <w:szCs w:val="32"/>
        </w:rPr>
        <w:t>主要职能</w:t>
      </w:r>
    </w:p>
    <w:p>
      <w:pPr>
        <w:spacing w:line="360" w:lineRule="auto"/>
        <w:ind w:firstLine="480" w:firstLineChars="150"/>
        <w:outlineLvl w:val="0"/>
        <w:rPr>
          <w:rFonts w:hint="eastAsia" w:ascii="楷体_GB2312" w:hAnsi="仿宋" w:eastAsia="楷体_GB2312"/>
          <w:b/>
          <w:sz w:val="32"/>
          <w:szCs w:val="32"/>
        </w:rPr>
      </w:pPr>
      <w:r>
        <w:rPr>
          <w:rFonts w:hint="eastAsia" w:ascii="仿宋_GB2312" w:hAnsi="仿宋" w:eastAsia="仿宋_GB2312"/>
          <w:sz w:val="32"/>
          <w:szCs w:val="32"/>
        </w:rPr>
        <w:t>（一）主要职能</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贯彻执行国家人力资源和社会保障工作基本方针、政策及人力资源和社会保障制度改革总体方案。结合陇川县实际编制人力资源和社会保障事业发展规划、年度工作计划，起草人力资源和社会保障地方性规定，并负责组织实施和监督检查。</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2.拟订人力资源市场发展规划和人力资源流动政策并组织实施，建立统一规范的人力资源市场。制定人力资源服务机构的市场准入制度，指导和监督对职业中介机构的管理，负责对人力资源市场进行监督检查。</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负责促进就业工作，拟订统筹城乡的就业发展规划和政策并组织实施。完善公共就业服务体系，建立就业援助制度，完善职业资格制度，统筹建立城乡劳动者职业培训制度。负责组织实施高技能人才、农村实用人才的培训、培养。</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综合管理全县公务员队伍建设，指导各部门实施和完善国家公务员制度；管理和指导全县公务员的职位分类、录用、考核、奖励、纪律、职务升降、惩戒、职务任免、培训、交流、回避、工资福利、辞职、辞退、退休、申诉控告等工作；保持干部队伍的合理结构。负责县直机关公务员管理及录用和调配工。</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5.统筹建立覆盖城乡的社会保障体系。负责城乡养老、失业、医疗、工伤、生育等社会保险及其补充保险的组织实施和监督检查。会同有关部门拟定社会保险及其补充保险基金的管理和监督制度，审核、汇总社会保险基金预决算草案。制定社会保险基金收缴、支付、管理、运营的管理办法，对社会保险基金进行监督和管理。</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6.负责就业、失业和社会保险基金的预测预警和信息引导，拟定应对预案，实施预防、调节和控制，保持就业形势稳定和社会保险基金总体收支平衡。</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7.贯彻执行机关、事业单位人员工资收入分配和地方性津贴、补贴政策并组织 ，贯彻执行机关、企事业单位福利、离退休政策，建立健全机关、企事业单位人员工资正常增长和支付保障机制。</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8.会同有关部门指导事业单位人事制度改革，拟定事业单位人员和机关工勤人员管理办法并组织实施。制定专业技术人员管理政策并组织实施，负责专业技术人员继续教育工作。牵头推进深化职称制定改革工作。参与人才管理工作，负责高层次专业技术人才选拔和培养工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9.会同有关部门拟订军队转业干部安置计划并组织实施，负责军队转业干部教育培训工作。负责企业军队转业干部解困和稳定工作。负责自主择业军队转业干部管理服务工作。</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10.负责公务员综合管理，拟订有关</w:t>
      </w:r>
      <w:r>
        <w:rPr>
          <w:rFonts w:hint="eastAsia" w:ascii="仿宋_GB2312" w:hAnsi="宋体" w:eastAsia="仿宋_GB2312"/>
          <w:sz w:val="32"/>
          <w:szCs w:val="32"/>
          <w:lang w:eastAsia="zh-CN"/>
        </w:rPr>
        <w:t>人员</w:t>
      </w:r>
      <w:r>
        <w:rPr>
          <w:rFonts w:hint="eastAsia" w:ascii="仿宋_GB2312" w:hAnsi="宋体" w:eastAsia="仿宋_GB2312"/>
          <w:sz w:val="32"/>
          <w:szCs w:val="32"/>
        </w:rPr>
        <w:t>调配政策和特殊人员安置政策并组织实施，会同有关部门拟订并组织实施国家荣誉制度和政策奖励制度。</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11.会同有关部门拟订农民工工作综合性政策和规划，协调、推动农民工相关政策的落实，协调解决重点难点问题，维护农民工合法权益。</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12.统筹拟订劳动、人事争议调解仲裁制度和劳动关系政策，完善劳动关系协调机制。制定消除非法使用童工政策和女工、未成年工的特殊劳动保护政策，组织实施劳动监察，协调劳动者维权工作，依法查处重大案件。</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13.负责组织实施引进外国智力和出国（境）培训计划。</w:t>
      </w:r>
    </w:p>
    <w:p>
      <w:pPr>
        <w:spacing w:line="360" w:lineRule="auto"/>
        <w:ind w:firstLine="640" w:firstLineChars="200"/>
        <w:outlineLvl w:val="0"/>
        <w:rPr>
          <w:rFonts w:hint="eastAsia" w:ascii="楷体_GB2312" w:hAnsi="仿宋" w:eastAsia="楷体_GB2312"/>
          <w:sz w:val="32"/>
          <w:szCs w:val="32"/>
        </w:rPr>
      </w:pPr>
      <w:r>
        <w:rPr>
          <w:rFonts w:hint="eastAsia" w:ascii="楷体_GB2312" w:hAnsi="仿宋" w:eastAsia="楷体_GB2312"/>
          <w:sz w:val="32"/>
          <w:szCs w:val="32"/>
        </w:rPr>
        <w:t>（二）2015年重点工作任务介绍</w:t>
      </w:r>
    </w:p>
    <w:p>
      <w:pPr>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2015年我局坚持“民生为本、人才优先”的工作主线，按照“就业保民生、社保安民心”目标要求，以抓创业促就业，不断扩宽社会保障覆盖面，积极构建和谐劳动关系，稳步推进人事制度改革和人才队伍建设，取得了较好成效。</w:t>
      </w:r>
    </w:p>
    <w:p>
      <w:pPr>
        <w:spacing w:line="360" w:lineRule="auto"/>
        <w:ind w:firstLine="640" w:firstLineChars="200"/>
        <w:rPr>
          <w:rFonts w:hint="eastAsia" w:ascii="仿宋_GB2312" w:eastAsia="仿宋_GB2312"/>
          <w:sz w:val="32"/>
          <w:szCs w:val="32"/>
        </w:rPr>
      </w:pPr>
      <w:r>
        <w:rPr>
          <w:rFonts w:hint="eastAsia" w:ascii="仿宋_GB2312" w:hAnsi="仿宋_GB2312" w:eastAsia="仿宋_GB2312"/>
          <w:sz w:val="32"/>
          <w:szCs w:val="32"/>
        </w:rPr>
        <w:t>一是以扶持创业为重点，就业工作扎实开展</w:t>
      </w:r>
      <w:r>
        <w:rPr>
          <w:rFonts w:hint="eastAsia" w:ascii="仿宋_GB2312" w:hAnsi="仿宋_GB2312" w:eastAsia="仿宋_GB2312"/>
          <w:b/>
          <w:sz w:val="32"/>
          <w:szCs w:val="32"/>
        </w:rPr>
        <w:t>。</w:t>
      </w:r>
      <w:r>
        <w:rPr>
          <w:rFonts w:hint="eastAsia" w:ascii="仿宋_GB2312" w:eastAsia="仿宋_GB2312"/>
          <w:sz w:val="32"/>
          <w:szCs w:val="32"/>
        </w:rPr>
        <w:t>全县新登记失业人员105人，期末实有登记失业人员586人，城镇登记失业率为4.29%，在目标任务4.3%以内。城镇新增就业人员590人（完成任务数590人的100%），失业人员再就业120人（完成任务数120人的100%），就业困难人员再就业人员70人（完成任务数70人的100%）。开发</w:t>
      </w:r>
      <w:bookmarkStart w:id="1" w:name="_GoBack"/>
      <w:bookmarkEnd w:id="1"/>
      <w:r>
        <w:rPr>
          <w:rFonts w:hint="eastAsia" w:ascii="仿宋_GB2312" w:eastAsia="仿宋_GB2312"/>
          <w:sz w:val="32"/>
          <w:szCs w:val="32"/>
          <w:lang w:eastAsia="zh-CN"/>
        </w:rPr>
        <w:t>公益性岗位</w:t>
      </w:r>
      <w:r>
        <w:rPr>
          <w:rFonts w:hint="eastAsia" w:ascii="仿宋_GB2312" w:eastAsia="仿宋_GB2312"/>
          <w:sz w:val="32"/>
          <w:szCs w:val="32"/>
        </w:rPr>
        <w:t>90（完成任务数90人的100%）,实际在岗人数66人。共完成“贷免扶补”实地考察127人，初步确定符合贷款条件的40人（目标任务40人），发放贷款笔数40人，贷款金额为333万，完成任务数的100%。完成失业人员小额担保贷款实地考察156人，目前确定符合条件并向信用社推荐的60人（目标任务60人），发放贷款笔数60人，贷款金额543万。</w:t>
      </w:r>
      <w:r>
        <w:rPr>
          <w:rFonts w:hint="eastAsia" w:ascii="仿宋_GB2312" w:hAnsi="仿宋_GB2312" w:eastAsia="仿宋_GB2312"/>
          <w:sz w:val="32"/>
          <w:szCs w:val="32"/>
        </w:rPr>
        <w:t>积极做好境外边民入境务工工作。</w:t>
      </w:r>
      <w:r>
        <w:rPr>
          <w:rFonts w:hint="eastAsia" w:ascii="仿宋_GB2312" w:eastAsia="仿宋_GB2312"/>
          <w:sz w:val="32"/>
          <w:szCs w:val="32"/>
        </w:rPr>
        <w:t>共计为境外边民办理《境外边民入境务工登记证》6137人。</w:t>
      </w:r>
    </w:p>
    <w:p>
      <w:pPr>
        <w:spacing w:line="360" w:lineRule="auto"/>
        <w:ind w:firstLine="640" w:firstLineChars="200"/>
        <w:rPr>
          <w:rFonts w:hint="eastAsia" w:ascii="仿宋_GB2312" w:eastAsia="仿宋_GB2312"/>
          <w:sz w:val="32"/>
          <w:szCs w:val="32"/>
        </w:rPr>
      </w:pPr>
      <w:r>
        <w:rPr>
          <w:rFonts w:hint="eastAsia" w:ascii="仿宋_GB2312" w:hAnsi="仿宋_GB2312" w:eastAsia="仿宋_GB2312"/>
          <w:sz w:val="32"/>
          <w:szCs w:val="32"/>
        </w:rPr>
        <w:t>二是以扩面征缴为重点，社会保障工作稳步推进。</w:t>
      </w:r>
      <w:r>
        <w:rPr>
          <w:rFonts w:hint="eastAsia" w:ascii="仿宋_GB2312" w:eastAsia="仿宋_GB2312"/>
          <w:sz w:val="32"/>
          <w:szCs w:val="32"/>
        </w:rPr>
        <w:t>基本养老保险：我县城镇职工基本养老保险参保单位102户，参保人数为13315人，其中实际缴费 8479人，离退休职工 4836 人，目标任务数是13145 人，完成率达到 101 %。</w:t>
      </w:r>
      <w:r>
        <w:rPr>
          <w:rFonts w:hint="eastAsia" w:ascii="仿宋_GB2312" w:hAnsi="仿宋_GB2312" w:eastAsia="仿宋_GB2312"/>
          <w:sz w:val="32"/>
          <w:szCs w:val="32"/>
        </w:rPr>
        <w:t>医疗保险:</w:t>
      </w:r>
      <w:r>
        <w:rPr>
          <w:rFonts w:hint="eastAsia" w:ascii="仿宋_GB2312" w:hAnsi="宋体" w:eastAsia="仿宋_GB2312"/>
          <w:sz w:val="32"/>
          <w:szCs w:val="32"/>
        </w:rPr>
        <w:t>征缴城镇职工医疗保险17052人，城镇居民医疗保险15950人，完成任务数33000人的100</w:t>
      </w:r>
      <w:r>
        <w:rPr>
          <w:rFonts w:hint="eastAsia" w:ascii="仿宋_GB2312" w:hAnsi="宋体"/>
          <w:sz w:val="32"/>
          <w:szCs w:val="32"/>
        </w:rPr>
        <w:t>﹪</w:t>
      </w:r>
      <w:r>
        <w:rPr>
          <w:rFonts w:hint="eastAsia" w:ascii="仿宋_GB2312" w:hAnsi="宋体" w:eastAsia="仿宋_GB2312"/>
          <w:sz w:val="32"/>
          <w:szCs w:val="32"/>
        </w:rPr>
        <w:t>；工伤保险9774人（其中企业4859人、机关事业4915人），完成任务数9773人的100</w:t>
      </w:r>
      <w:r>
        <w:rPr>
          <w:rFonts w:hint="eastAsia" w:ascii="仿宋_GB2312" w:hAnsi="宋体"/>
          <w:sz w:val="32"/>
          <w:szCs w:val="32"/>
        </w:rPr>
        <w:t>﹪</w:t>
      </w:r>
      <w:r>
        <w:rPr>
          <w:rFonts w:hint="eastAsia" w:ascii="仿宋_GB2312" w:hAnsi="宋体" w:eastAsia="仿宋_GB2312"/>
          <w:sz w:val="32"/>
          <w:szCs w:val="32"/>
        </w:rPr>
        <w:t>；生育保险7698人（其中企业2783人、机关事业4915人），完成任务数7697人的100</w:t>
      </w:r>
      <w:r>
        <w:rPr>
          <w:rFonts w:hint="eastAsia" w:ascii="仿宋_GB2312" w:hAnsi="宋体"/>
          <w:sz w:val="32"/>
          <w:szCs w:val="32"/>
        </w:rPr>
        <w:t>﹪</w:t>
      </w:r>
      <w:r>
        <w:rPr>
          <w:rFonts w:hint="eastAsia" w:ascii="仿宋_GB2312" w:hAnsi="宋体" w:eastAsia="仿宋_GB2312"/>
          <w:sz w:val="32"/>
          <w:szCs w:val="32"/>
        </w:rPr>
        <w:t>。陇川县2015年城乡居民养老保险参保人数80376人，其中领取待遇人数13590人，参保缴费人数66786人，完成州局下达参保目标任务79750人的100.78%。</w:t>
      </w:r>
    </w:p>
    <w:p>
      <w:pPr>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三是以监察为重点，切实维护劳动者合法权益。农民工工资专项检查，</w:t>
      </w:r>
      <w:r>
        <w:rPr>
          <w:rFonts w:hint="eastAsia" w:ascii="仿宋_GB2312" w:hAnsi="宋体" w:eastAsia="仿宋_GB2312"/>
          <w:sz w:val="32"/>
          <w:szCs w:val="32"/>
        </w:rPr>
        <w:t>共检查用人单位32户（其中现场检查20户），涉及劳动者2086人，其中：农民工1741人，签订劳动合同1325人。</w:t>
      </w:r>
      <w:r>
        <w:rPr>
          <w:rFonts w:hint="eastAsia" w:ascii="仿宋_GB2312" w:hAnsi="仿宋_GB2312" w:eastAsia="仿宋_GB2312"/>
          <w:sz w:val="32"/>
          <w:szCs w:val="32"/>
        </w:rPr>
        <w:t>认真办理农民工投诉举报案件。我人社局共</w:t>
      </w:r>
      <w:r>
        <w:rPr>
          <w:rFonts w:hint="eastAsia" w:ascii="仿宋_GB2312" w:hAnsi="仿宋_GB2312" w:eastAsia="仿宋_GB2312" w:cs="仿宋_GB2312"/>
          <w:sz w:val="32"/>
          <w:szCs w:val="32"/>
        </w:rPr>
        <w:t>接到农民工工资举报案件共31起，</w:t>
      </w:r>
      <w:r>
        <w:rPr>
          <w:rFonts w:hint="eastAsia" w:ascii="仿宋_GB2312" w:hAnsi="仿宋_GB2312" w:eastAsia="仿宋_GB2312" w:cs="仿宋_GB2312"/>
          <w:color w:val="000000"/>
          <w:sz w:val="32"/>
          <w:szCs w:val="32"/>
        </w:rPr>
        <w:t>涉及农民工650人、拖欠金额406.6万元，</w:t>
      </w:r>
      <w:r>
        <w:rPr>
          <w:rFonts w:hint="eastAsia" w:ascii="仿宋_GB2312" w:hAnsi="仿宋_GB2312" w:eastAsia="仿宋_GB2312" w:cs="仿宋_GB2312"/>
          <w:sz w:val="32"/>
          <w:szCs w:val="32"/>
        </w:rPr>
        <w:t>不予受理案件3起；目前已解决23起拖，为农民工追回血汗钱325.2万元。其余5起，由于老板外逃，无法与之取得联系，暂时无法受理。其次，</w:t>
      </w:r>
      <w:r>
        <w:rPr>
          <w:rFonts w:hint="eastAsia" w:ascii="仿宋_GB2312" w:eastAsia="仿宋_GB2312"/>
          <w:sz w:val="32"/>
          <w:szCs w:val="32"/>
        </w:rPr>
        <w:t>共接到劳动争议仲裁案件4起。其中，3起为工伤赔偿，1起为劳动关系纠纷，通过协调，都已处理解决。全县应签劳动合同人数9568人，实签9321人，签订率为93%。</w:t>
      </w:r>
    </w:p>
    <w:p>
      <w:pPr>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是强化基金监督力度，确保社保基金安全完整；加强人才队伍建设，人才支撑作用发挥更加充分；做好公务员信息库审核工作，完成全县公务员管理信息系统建立，并完成全县政府机关1042名公务员的基础信息采集、录入、审核工作，实现公务员管理的信息化、系统化。</w:t>
      </w:r>
      <w:r>
        <w:rPr>
          <w:rFonts w:ascii="仿宋_GB2312" w:hAnsi="仿宋_GB2312" w:eastAsia="仿宋_GB2312"/>
          <w:sz w:val="32"/>
          <w:szCs w:val="32"/>
        </w:rPr>
        <w:t>严守人事调动纪律。</w:t>
      </w:r>
      <w:r>
        <w:rPr>
          <w:rFonts w:hint="eastAsia" w:ascii="仿宋_GB2312" w:hAnsi="仿宋_GB2312" w:eastAsia="仿宋_GB2312"/>
          <w:sz w:val="32"/>
          <w:szCs w:val="32"/>
        </w:rPr>
        <w:t>有序开展各项工资福利业务审批；做好省属单位下划人员工资工作；认真做好专业技术人员资格、晋升审查工作。</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二、部门基本情况</w:t>
      </w:r>
    </w:p>
    <w:p>
      <w:pPr>
        <w:spacing w:line="36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纳入2015年度部门决算编报的单位共1个，其中行政单位1个。我单位共有行政编制19名，工勤编制2名，参照公务员管理事业编32名。2014年实有在职人员 47 人，2015年实有在职职工 47 人，比去年减少0 人，原因为2015年调出1人，新招录用1人。2014年有退休人员 18人，2015年实有退休人员18人。我局实际拥有4辆公务用车，2015年没有购置过新车。</w:t>
      </w:r>
    </w:p>
    <w:p>
      <w:pPr>
        <w:spacing w:line="360" w:lineRule="auto"/>
        <w:ind w:firstLine="643" w:firstLineChars="200"/>
        <w:rPr>
          <w:rFonts w:hint="eastAsia" w:ascii="仿宋_GB2312" w:hAnsi="仿宋" w:eastAsia="仿宋_GB2312"/>
          <w:b/>
          <w:color w:val="000000"/>
          <w:sz w:val="32"/>
          <w:szCs w:val="32"/>
        </w:rPr>
      </w:pPr>
      <w:r>
        <w:rPr>
          <w:rFonts w:hint="eastAsia" w:ascii="仿宋_GB2312" w:hAnsi="仿宋" w:eastAsia="仿宋_GB2312"/>
          <w:b/>
          <w:color w:val="000000"/>
          <w:sz w:val="32"/>
          <w:szCs w:val="32"/>
        </w:rPr>
        <w:t>第二部分  2015年度陇川县人力资源和社会保障局部门决算表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收入支出决算总表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收入决算表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支出决算表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财政拨款收入支出决算总表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公共预算财政拨款收入支出决算表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公共预算财政拨款基本支出决算表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政府性基金预算财政拨款收入支出决算表</w:t>
      </w:r>
    </w:p>
    <w:p>
      <w:pPr>
        <w:numPr>
          <w:ilvl w:val="0"/>
          <w:numId w:val="1"/>
        </w:num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公共预算财政拨款“三公”经费、行政参公单位机关运行经费情况表</w:t>
      </w:r>
    </w:p>
    <w:p>
      <w:pPr>
        <w:spacing w:line="360" w:lineRule="auto"/>
        <w:ind w:firstLine="640" w:firstLineChars="200"/>
        <w:rPr>
          <w:rFonts w:hint="eastAsia" w:ascii="仿宋_GB2312" w:hAnsi="仿宋" w:eastAsia="仿宋_GB2312"/>
          <w:b/>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b/>
          <w:color w:val="000000"/>
          <w:sz w:val="32"/>
          <w:szCs w:val="32"/>
        </w:rPr>
        <w:t>（详见附件）</w:t>
      </w:r>
    </w:p>
    <w:p>
      <w:pPr>
        <w:spacing w:line="360" w:lineRule="auto"/>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第三部分  2015年度陇川县人力资源和社会保障局部门决算情况说明</w:t>
      </w:r>
    </w:p>
    <w:p>
      <w:pPr>
        <w:spacing w:line="360" w:lineRule="auto"/>
        <w:ind w:firstLine="640" w:firstLineChars="200"/>
        <w:outlineLvl w:val="0"/>
        <w:rPr>
          <w:rFonts w:hint="eastAsia" w:ascii="楷体_GB2312" w:hAnsi="仿宋" w:eastAsia="楷体_GB2312"/>
          <w:sz w:val="32"/>
          <w:szCs w:val="32"/>
        </w:rPr>
      </w:pPr>
      <w:r>
        <w:rPr>
          <w:rFonts w:hint="eastAsia" w:ascii="楷体_GB2312" w:hAnsi="仿宋" w:eastAsia="楷体_GB2312"/>
          <w:sz w:val="32"/>
          <w:szCs w:val="32"/>
        </w:rPr>
        <w:t>一、收入决算情况说明</w:t>
      </w:r>
    </w:p>
    <w:p>
      <w:pPr>
        <w:spacing w:line="360" w:lineRule="auto"/>
        <w:ind w:firstLine="640" w:firstLineChars="200"/>
        <w:outlineLvl w:val="0"/>
        <w:rPr>
          <w:rFonts w:hint="eastAsia" w:ascii="仿宋_GB2312" w:hAnsi="仿宋" w:eastAsia="仿宋_GB2312"/>
          <w:sz w:val="32"/>
          <w:szCs w:val="32"/>
        </w:rPr>
      </w:pPr>
      <w:r>
        <w:rPr>
          <w:rFonts w:hint="eastAsia" w:ascii="楷体_GB2312" w:hAnsi="仿宋" w:eastAsia="楷体_GB2312"/>
          <w:sz w:val="32"/>
          <w:szCs w:val="32"/>
        </w:rPr>
        <w:t>2015年本单位决算总收入625.26万元，其中：财政拨款收入621.77万元，占总收入的99.44%；</w:t>
      </w:r>
      <w:r>
        <w:rPr>
          <w:rFonts w:hint="eastAsia" w:ascii="仿宋_GB2312" w:eastAsia="仿宋_GB2312"/>
          <w:sz w:val="32"/>
          <w:szCs w:val="32"/>
        </w:rPr>
        <w:t>上级补助收入0万元，占总收入的0%；事业收入0万元，占总收入的0%；经营收入0万元，占总收入的0%；附属单位缴款收入0万元，占总收入的0%；</w:t>
      </w:r>
      <w:r>
        <w:rPr>
          <w:rFonts w:hint="eastAsia" w:ascii="楷体_GB2312" w:hAnsi="仿宋" w:eastAsia="楷体_GB2312"/>
          <w:sz w:val="32"/>
          <w:szCs w:val="32"/>
        </w:rPr>
        <w:t>其他收入3.49万元，占总收入的0.56%。</w:t>
      </w:r>
      <w:r>
        <w:rPr>
          <w:rFonts w:hint="eastAsia" w:ascii="楷体_GB2312" w:hAnsi="仿宋" w:eastAsia="楷体_GB2312"/>
          <w:color w:val="000000"/>
          <w:sz w:val="32"/>
          <w:szCs w:val="32"/>
        </w:rPr>
        <w:t>与上年对比，</w:t>
      </w:r>
      <w:r>
        <w:rPr>
          <w:rFonts w:hint="eastAsia" w:ascii="仿宋_GB2312" w:hAnsi="仿宋" w:eastAsia="仿宋_GB2312"/>
          <w:sz w:val="32"/>
          <w:szCs w:val="32"/>
        </w:rPr>
        <w:t>2015年的本年收入比2014年增加39.57%，原因是2015年的工资调资增幅大，人均在职公用经费由750元/人、年变为6700元/人、年，及我局2015年的项目收入增加十分大。其他收入比2014年减少是因为2015年州局拨入贷免扶补经费比2014年减少，2015年少了州局拨事业人员培训费。</w:t>
      </w:r>
    </w:p>
    <w:p>
      <w:pPr>
        <w:spacing w:line="360" w:lineRule="auto"/>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rPr>
        <w:t>二、支出决算情况说明</w:t>
      </w:r>
    </w:p>
    <w:p>
      <w:pPr>
        <w:spacing w:line="360" w:lineRule="auto"/>
        <w:ind w:firstLine="640" w:firstLineChars="200"/>
        <w:rPr>
          <w:rFonts w:hint="eastAsia" w:ascii="仿宋_GB2312" w:hAnsi="宋体" w:eastAsia="仿宋_GB2312" w:cs="宋体"/>
          <w:sz w:val="32"/>
          <w:szCs w:val="32"/>
        </w:rPr>
      </w:pPr>
      <w:r>
        <w:rPr>
          <w:rFonts w:hint="eastAsia" w:ascii="仿宋_GB2312" w:hAnsi="仿宋" w:eastAsia="仿宋_GB2312"/>
          <w:sz w:val="32"/>
          <w:szCs w:val="32"/>
        </w:rPr>
        <w:t>2015年本单位决算总支出633.75万元，其中：基本支出440.3万元，占总支出的69.48%；项目支出193.46万元，占总支出的30.53%；</w:t>
      </w:r>
      <w:r>
        <w:rPr>
          <w:rFonts w:hint="eastAsia" w:ascii="仿宋_GB2312" w:hAnsi="宋体" w:eastAsia="仿宋_GB2312" w:cs="Arial"/>
          <w:kern w:val="0"/>
          <w:sz w:val="32"/>
          <w:szCs w:val="32"/>
        </w:rPr>
        <w:t>上缴上级支出、经营支出、对附属单位补助支出共</w:t>
      </w:r>
      <w:r>
        <w:rPr>
          <w:rFonts w:hint="eastAsia" w:ascii="仿宋_GB2312" w:eastAsia="仿宋_GB2312"/>
          <w:sz w:val="32"/>
          <w:szCs w:val="32"/>
        </w:rPr>
        <w:t>0</w:t>
      </w:r>
      <w:r>
        <w:rPr>
          <w:rFonts w:hint="eastAsia" w:ascii="仿宋_GB2312" w:hAnsi="宋体" w:eastAsia="仿宋_GB2312" w:cs="Arial"/>
          <w:kern w:val="0"/>
          <w:sz w:val="32"/>
          <w:szCs w:val="32"/>
        </w:rPr>
        <w:t>万元，占总支出的</w:t>
      </w:r>
      <w:r>
        <w:rPr>
          <w:rFonts w:hint="eastAsia" w:ascii="仿宋_GB2312" w:eastAsia="仿宋_GB2312"/>
          <w:sz w:val="32"/>
          <w:szCs w:val="32"/>
        </w:rPr>
        <w:t>0</w:t>
      </w:r>
      <w:r>
        <w:rPr>
          <w:rFonts w:hint="eastAsia" w:ascii="仿宋_GB2312" w:hAnsi="宋体" w:eastAsia="仿宋_GB2312" w:cs="Arial"/>
          <w:kern w:val="0"/>
          <w:sz w:val="32"/>
          <w:szCs w:val="32"/>
        </w:rPr>
        <w:t>％。与上年对比，</w:t>
      </w:r>
      <w:r>
        <w:rPr>
          <w:rFonts w:hint="eastAsia" w:ascii="仿宋_GB2312" w:hAnsi="仿宋" w:eastAsia="仿宋_GB2312"/>
          <w:sz w:val="32"/>
          <w:szCs w:val="32"/>
        </w:rPr>
        <w:t>2015年的本年支出比2014年增加44.22%，原因是2015年的工资调资增幅大，人均在职公用经费由750元/人、年变为6700元/人、年，及我局2015年的项目收入增加十分大。项目支出比2014年增加348.33%，原因是</w:t>
      </w:r>
      <w:r>
        <w:rPr>
          <w:rFonts w:hint="eastAsia" w:ascii="仿宋_GB2312" w:eastAsia="仿宋_GB2312"/>
          <w:sz w:val="32"/>
          <w:szCs w:val="32"/>
        </w:rPr>
        <w:t>2015年拨入的项目经费比2014年要多出150多万元。</w:t>
      </w:r>
      <w:r>
        <w:rPr>
          <w:rFonts w:hint="eastAsia" w:ascii="仿宋_GB2312" w:hAnsi="仿宋" w:eastAsia="仿宋_GB2312"/>
          <w:sz w:val="32"/>
          <w:szCs w:val="32"/>
        </w:rPr>
        <w:t>工资福利支出增加47.47%，原因2015年的工资调资增幅大。商品和服务支出增加117.02%，原因是2015年人均在职公用经费由750元/人、年变为6700元/人、年。对个人和家庭的补助增加25.37%，原因是这部分支出基本都是州级财政转拨来的资金，如是企业退休人员独生子女奖励、企业退休社会化管理服务费、企业退休军转干部生活补助等资金。并且部分项目的金额比2014年拨的多。其他资本性支出减少28.28%，原因是2015年购买办公设备比2014年减少。</w:t>
      </w:r>
    </w:p>
    <w:p>
      <w:pPr>
        <w:spacing w:line="360" w:lineRule="auto"/>
        <w:ind w:firstLine="480" w:firstLineChars="150"/>
        <w:outlineLvl w:val="0"/>
        <w:rPr>
          <w:rFonts w:hint="eastAsia" w:ascii="仿宋_GB2312" w:hAnsi="仿宋" w:eastAsia="仿宋_GB2312"/>
          <w:sz w:val="32"/>
          <w:szCs w:val="32"/>
        </w:rPr>
      </w:pPr>
      <w:r>
        <w:rPr>
          <w:rFonts w:hint="eastAsia" w:ascii="仿宋_GB2312" w:hAnsi="仿宋" w:eastAsia="仿宋_GB2312"/>
          <w:sz w:val="32"/>
          <w:szCs w:val="32"/>
        </w:rPr>
        <w:t>（一）基本支出情况</w:t>
      </w:r>
    </w:p>
    <w:p>
      <w:pPr>
        <w:spacing w:line="360" w:lineRule="auto"/>
        <w:ind w:firstLine="640" w:firstLineChars="200"/>
        <w:outlineLvl w:val="0"/>
        <w:rPr>
          <w:rFonts w:hint="eastAsia" w:ascii="仿宋_GB2312" w:hAnsi="仿宋" w:eastAsia="仿宋_GB2312"/>
          <w:sz w:val="32"/>
          <w:szCs w:val="32"/>
        </w:rPr>
      </w:pPr>
      <w:r>
        <w:rPr>
          <w:rFonts w:hint="eastAsia" w:ascii="仿宋_GB2312" w:eastAsia="仿宋_GB2312"/>
          <w:sz w:val="32"/>
          <w:szCs w:val="32"/>
        </w:rPr>
        <w:t>2015年用于保障局机关机构正常运转的日常支出440.30万元。与上年对比，增加了11.11%。基本工资，津贴补贴等人员经费支出占基本支出的68.20%；办公经费、印刷费、水电费、汽燃费、办公设备购置等日常公用经费占基本支出的21.60%；对个人和家庭的补助占基本支出的53.49%；其他资本性支出占基本支出的0.70%。</w:t>
      </w:r>
    </w:p>
    <w:p>
      <w:pPr>
        <w:spacing w:line="360" w:lineRule="auto"/>
        <w:ind w:firstLine="480" w:firstLineChars="150"/>
        <w:outlineLvl w:val="0"/>
        <w:rPr>
          <w:rFonts w:hint="eastAsia" w:ascii="楷体_GB2312" w:hAnsi="仿宋" w:eastAsia="楷体_GB2312"/>
          <w:sz w:val="32"/>
          <w:szCs w:val="32"/>
        </w:rPr>
      </w:pPr>
      <w:r>
        <w:rPr>
          <w:rFonts w:hint="eastAsia" w:ascii="楷体_GB2312" w:hAnsi="仿宋" w:eastAsia="楷体_GB2312"/>
          <w:sz w:val="32"/>
          <w:szCs w:val="32"/>
        </w:rPr>
        <w:t>（二）项目支出情况</w:t>
      </w:r>
    </w:p>
    <w:p>
      <w:pPr>
        <w:spacing w:line="360" w:lineRule="auto"/>
        <w:ind w:firstLine="640" w:firstLineChars="200"/>
        <w:outlineLvl w:val="0"/>
        <w:rPr>
          <w:rFonts w:hint="eastAsia" w:ascii="仿宋_GB2312" w:eastAsia="仿宋_GB2312"/>
          <w:color w:val="FF0000"/>
          <w:sz w:val="32"/>
          <w:szCs w:val="32"/>
        </w:rPr>
      </w:pPr>
      <w:r>
        <w:rPr>
          <w:rFonts w:hint="eastAsia" w:ascii="仿宋_GB2312" w:eastAsia="仿宋_GB2312"/>
          <w:sz w:val="32"/>
          <w:szCs w:val="32"/>
        </w:rPr>
        <w:t>2015年用于保障局相关机构为完成特定的行政工作任务或事业发展目标，用于专项业务工作的经费支出193.46万元，与上年对比增</w:t>
      </w:r>
      <w:r>
        <w:rPr>
          <w:rFonts w:hint="eastAsia" w:ascii="仿宋_GB2312" w:eastAsia="仿宋_GB2312"/>
          <w:color w:val="000000"/>
          <w:sz w:val="32"/>
          <w:szCs w:val="32"/>
        </w:rPr>
        <w:t>加，原因是</w:t>
      </w:r>
      <w:r>
        <w:rPr>
          <w:rFonts w:hint="eastAsia" w:ascii="仿宋_GB2312" w:eastAsia="仿宋_GB2312"/>
          <w:sz w:val="32"/>
          <w:szCs w:val="32"/>
        </w:rPr>
        <w:t>2015年拨入的项目经费比2014年要多出150多万元。</w:t>
      </w:r>
      <w:r>
        <w:rPr>
          <w:rFonts w:hint="eastAsia" w:ascii="仿宋_GB2312" w:eastAsia="仿宋_GB2312"/>
          <w:color w:val="000000"/>
          <w:sz w:val="32"/>
          <w:szCs w:val="32"/>
        </w:rPr>
        <w:t>具体项目是：</w:t>
      </w:r>
      <w:r>
        <w:rPr>
          <w:rFonts w:hint="eastAsia" w:ascii="仿宋_GB2312" w:hAnsi="仿宋" w:eastAsia="仿宋_GB2312"/>
          <w:sz w:val="32"/>
          <w:szCs w:val="32"/>
        </w:rPr>
        <w:t>工资福利支出增加47.47%，原因2015年的工资调资增幅大。商品和服务支出增加117.02%，原因是2015年人均在职公用经费由750元/人、年变为6700元/人、年。对个人和家庭的补助增加25.37%，原因</w:t>
      </w:r>
      <w:r>
        <w:rPr>
          <w:rFonts w:hint="eastAsia" w:ascii="仿宋_GB2312" w:hAnsi="仿宋" w:eastAsia="仿宋_GB2312"/>
          <w:sz w:val="32"/>
          <w:szCs w:val="32"/>
          <w:lang w:eastAsia="zh-CN"/>
        </w:rPr>
        <w:t>是</w:t>
      </w:r>
      <w:r>
        <w:rPr>
          <w:rFonts w:hint="eastAsia" w:ascii="仿宋_GB2312" w:hAnsi="仿宋" w:eastAsia="仿宋_GB2312"/>
          <w:sz w:val="32"/>
          <w:szCs w:val="32"/>
        </w:rPr>
        <w:t>因为这部分支出基本都是州级财政转拨来的资金，如是企业退休人员独生子女奖励、企业退休社会化管理服务费、企业退休军转干部生活补助等资金。并且部分项目的金额比2014年拨的多。</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三、一般公共预算财政拨款支出决算情况说明</w:t>
      </w:r>
    </w:p>
    <w:p>
      <w:pPr>
        <w:widowControl/>
        <w:spacing w:line="360" w:lineRule="auto"/>
        <w:ind w:firstLine="640" w:firstLineChars="200"/>
        <w:jc w:val="left"/>
        <w:rPr>
          <w:rFonts w:hint="eastAsia" w:ascii="仿宋_GB2312" w:hAnsi="宋体" w:eastAsia="仿宋_GB2312" w:cs="Arial"/>
          <w:kern w:val="0"/>
          <w:sz w:val="32"/>
          <w:szCs w:val="32"/>
        </w:rPr>
      </w:pPr>
      <w:r>
        <w:rPr>
          <w:rFonts w:hint="eastAsia" w:ascii="仿宋_GB2312" w:eastAsia="仿宋_GB2312"/>
          <w:sz w:val="32"/>
          <w:szCs w:val="32"/>
        </w:rPr>
        <w:t>2015</w:t>
      </w:r>
      <w:r>
        <w:rPr>
          <w:rFonts w:hint="eastAsia" w:ascii="仿宋_GB2312" w:hAnsi="宋体" w:eastAsia="仿宋_GB2312" w:cs="Arial"/>
          <w:kern w:val="0"/>
          <w:sz w:val="32"/>
          <w:szCs w:val="32"/>
        </w:rPr>
        <w:t>年本单位一般公共预算财政拨款支出629.6万元,占本年支出合计99%。按支出功能分类主要用于以下方面：</w:t>
      </w:r>
    </w:p>
    <w:p>
      <w:pPr>
        <w:widowControl/>
        <w:spacing w:line="360" w:lineRule="auto"/>
        <w:ind w:firstLine="640" w:firstLineChars="200"/>
        <w:jc w:val="left"/>
        <w:rPr>
          <w:rFonts w:hint="eastAsia" w:ascii="仿宋_GB2312" w:hAnsi="宋体" w:eastAsia="仿宋_GB2312" w:cs="Arial"/>
          <w:kern w:val="0"/>
          <w:sz w:val="32"/>
          <w:szCs w:val="32"/>
        </w:rPr>
      </w:pPr>
      <w:r>
        <w:rPr>
          <w:rFonts w:hint="eastAsia" w:ascii="仿宋_GB2312" w:hAnsi="宋体" w:eastAsia="仿宋_GB2312" w:cs="Arial"/>
          <w:kern w:val="0"/>
          <w:sz w:val="32"/>
          <w:szCs w:val="32"/>
        </w:rPr>
        <w:t>（一）一般公共服务（类）支出23万元，占一般公共预算财政拨款总支出的3.65%。主要用于支付人力资源事务20万元及其他一般公共服务支出3万元。</w:t>
      </w:r>
    </w:p>
    <w:p>
      <w:pPr>
        <w:spacing w:line="360" w:lineRule="auto"/>
        <w:ind w:firstLine="640" w:firstLineChars="200"/>
        <w:outlineLvl w:val="0"/>
        <w:rPr>
          <w:rFonts w:hint="eastAsia" w:ascii="楷体_GB2312" w:hAnsi="仿宋" w:eastAsia="楷体_GB2312"/>
          <w:color w:val="000000"/>
          <w:sz w:val="32"/>
          <w:szCs w:val="32"/>
        </w:rPr>
      </w:pPr>
      <w:r>
        <w:rPr>
          <w:rFonts w:hint="eastAsia" w:ascii="仿宋_GB2312" w:hAnsi="宋体" w:eastAsia="仿宋_GB2312" w:cs="Arial"/>
          <w:kern w:val="0"/>
          <w:sz w:val="32"/>
          <w:szCs w:val="32"/>
        </w:rPr>
        <w:t>（二）社会保障和就业支出</w:t>
      </w:r>
      <w:r>
        <w:rPr>
          <w:rFonts w:hint="eastAsia" w:ascii="仿宋_GB2312" w:eastAsia="仿宋_GB2312"/>
          <w:sz w:val="32"/>
          <w:szCs w:val="32"/>
        </w:rPr>
        <w:t>598.9</w:t>
      </w:r>
      <w:r>
        <w:rPr>
          <w:rFonts w:hint="eastAsia" w:ascii="仿宋_GB2312" w:hAnsi="宋体" w:eastAsia="仿宋_GB2312" w:cs="Arial"/>
          <w:kern w:val="0"/>
          <w:sz w:val="32"/>
          <w:szCs w:val="32"/>
        </w:rPr>
        <w:t>万元，主要用于人力资源和社会保障管理事务开支441.8万元，行政事业单位离退休开支138.2万元，抚恤0.7万元，其他社会保障和就业支出18.1万元。</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四、“三公”经费决算情况说明</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本单位2015年财政拨款“三公”经费决算总额9.3万元，其中，因公出国（境）费支出0万元，公务用车购置及运行维护费支出5.3万元，公务接待费支出4万元。</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2015年“三公”经费决算数比2014年决算数</w:t>
      </w:r>
      <w:r>
        <w:rPr>
          <w:rFonts w:hint="eastAsia" w:ascii="仿宋_GB2312" w:hAnsi="仿宋" w:eastAsia="仿宋_GB2312"/>
          <w:color w:val="000000"/>
          <w:sz w:val="32"/>
          <w:szCs w:val="32"/>
        </w:rPr>
        <w:t>增加0.3万元，增加的主要原因是：</w:t>
      </w:r>
      <w:r>
        <w:rPr>
          <w:rFonts w:hint="eastAsia" w:ascii="仿宋_GB2312" w:hAnsi="仿宋" w:eastAsia="仿宋_GB2312"/>
          <w:sz w:val="32"/>
          <w:szCs w:val="32"/>
        </w:rPr>
        <w:t>2015年减少公务接待开支，而公车由于使用时间长容易损坏增加维修费。</w:t>
      </w:r>
    </w:p>
    <w:p>
      <w:pPr>
        <w:spacing w:line="360" w:lineRule="auto"/>
        <w:ind w:firstLine="480" w:firstLineChars="150"/>
        <w:rPr>
          <w:rFonts w:hint="eastAsia" w:ascii="仿宋_GB2312" w:hAnsi="仿宋" w:eastAsia="仿宋_GB2312"/>
          <w:sz w:val="32"/>
          <w:szCs w:val="32"/>
        </w:rPr>
      </w:pPr>
      <w:r>
        <w:rPr>
          <w:rFonts w:hint="eastAsia" w:ascii="仿宋_GB2312" w:hAnsi="仿宋" w:eastAsia="仿宋_GB2312"/>
          <w:sz w:val="32"/>
          <w:szCs w:val="32"/>
        </w:rPr>
        <w:t>（一）因公出国（境）费</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2015年本单位因公出国（境）团组0次，出国（境）0人。实际发生因公出国（境）费0万元，与2014年决算数无增减。</w:t>
      </w:r>
    </w:p>
    <w:p>
      <w:pPr>
        <w:spacing w:line="360" w:lineRule="auto"/>
        <w:ind w:firstLine="480" w:firstLineChars="150"/>
        <w:rPr>
          <w:rFonts w:hint="eastAsia" w:ascii="仿宋_GB2312" w:hAnsi="仿宋" w:eastAsia="仿宋_GB2312"/>
          <w:sz w:val="32"/>
          <w:szCs w:val="32"/>
        </w:rPr>
      </w:pPr>
      <w:r>
        <w:rPr>
          <w:rFonts w:hint="eastAsia" w:ascii="仿宋_GB2312" w:hAnsi="仿宋" w:eastAsia="仿宋_GB2312"/>
          <w:sz w:val="32"/>
          <w:szCs w:val="32"/>
        </w:rPr>
        <w:t>（二）公务用车购置及运行维护费</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2015年本单位购置公务用车0辆，年末公务用车保有量4辆，公务用车购置及运行维护费5.3万元。其中：购置费0万元，比2014年决算增加/减少0万元，运行维护费5.3万元，比2014年决算增加1.58万元，主要用于保障我局各股室开展工作产生的公务用车燃料费、维修费、过路过桥费、保险费等支出。</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（三）公务接待费</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2015年本单位共执行国内公务接待</w:t>
      </w:r>
      <w:r>
        <w:rPr>
          <w:rFonts w:hint="eastAsia" w:ascii="仿宋_GB2312" w:eastAsia="仿宋_GB2312"/>
          <w:color w:val="000000"/>
          <w:sz w:val="32"/>
          <w:szCs w:val="32"/>
        </w:rPr>
        <w:t>70</w:t>
      </w:r>
      <w:r>
        <w:rPr>
          <w:rFonts w:hint="eastAsia" w:ascii="仿宋_GB2312" w:eastAsia="仿宋_GB2312"/>
          <w:sz w:val="32"/>
          <w:szCs w:val="32"/>
        </w:rPr>
        <w:t>批次，</w:t>
      </w:r>
      <w:r>
        <w:rPr>
          <w:rFonts w:hint="eastAsia" w:ascii="仿宋_GB2312" w:eastAsia="仿宋_GB2312"/>
          <w:color w:val="000000"/>
          <w:sz w:val="32"/>
          <w:szCs w:val="32"/>
        </w:rPr>
        <w:t>560</w:t>
      </w:r>
      <w:r>
        <w:rPr>
          <w:rFonts w:hint="eastAsia" w:ascii="仿宋_GB2312" w:eastAsia="仿宋_GB2312"/>
          <w:sz w:val="32"/>
          <w:szCs w:val="32"/>
        </w:rPr>
        <w:t>人次，接待费开支4万元; 外事接待0批次，0人，接待费开支0万元。公务接待费比2014年决算减少1万元，主要用于接待州局来我局检查、指导工作的开支及</w:t>
      </w:r>
      <w:r>
        <w:rPr>
          <w:rFonts w:hint="eastAsia" w:ascii="仿宋_GB2312" w:hAnsi="仿宋" w:eastAsia="仿宋_GB2312"/>
          <w:sz w:val="32"/>
          <w:szCs w:val="32"/>
        </w:rPr>
        <w:t>开展下乡工作支出</w:t>
      </w:r>
      <w:r>
        <w:rPr>
          <w:rFonts w:hint="eastAsia" w:ascii="仿宋_GB2312" w:eastAsia="仿宋_GB2312"/>
          <w:sz w:val="32"/>
          <w:szCs w:val="32"/>
        </w:rPr>
        <w:t>产生的费用。</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五、其他重要事项及相关口径情况说明</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（一）机关运行经费支出情况</w:t>
      </w:r>
    </w:p>
    <w:p>
      <w:pPr>
        <w:spacing w:line="360" w:lineRule="auto"/>
        <w:ind w:firstLine="640" w:firstLineChars="200"/>
        <w:rPr>
          <w:rFonts w:hint="eastAsia" w:ascii="仿宋_GB2312" w:hAnsi="仿宋" w:eastAsia="仿宋_GB2312"/>
          <w:color w:val="000000"/>
          <w:sz w:val="32"/>
          <w:szCs w:val="32"/>
        </w:rPr>
      </w:pPr>
      <w:r>
        <w:rPr>
          <w:rFonts w:hint="eastAsia" w:ascii="仿宋_GB2312" w:eastAsia="仿宋_GB2312"/>
          <w:color w:val="000000"/>
          <w:sz w:val="32"/>
          <w:szCs w:val="32"/>
        </w:rPr>
        <w:t>本单位2015年机关运行经费支出44.3万元，与上年对比增加7.07万元，变动原因是2080101的基本支出31.47万元比2014年多拨22.34万元（调整在职人员公用经费标准导致），2014年余额2015年使用，所以2015年行政经费支出增加。</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（二）相关口径说明</w:t>
      </w:r>
    </w:p>
    <w:p>
      <w:pPr>
        <w:widowControl/>
        <w:spacing w:line="360" w:lineRule="auto"/>
        <w:ind w:firstLine="640" w:firstLineChars="200"/>
        <w:jc w:val="left"/>
        <w:rPr>
          <w:rFonts w:hint="eastAsia" w:ascii="仿宋_GB2312" w:eastAsia="仿宋_GB2312"/>
          <w:sz w:val="32"/>
          <w:szCs w:val="32"/>
        </w:rPr>
      </w:pPr>
      <w:r>
        <w:rPr>
          <w:rFonts w:hint="eastAsia" w:ascii="仿宋_GB2312" w:hAnsi="宋体" w:eastAsia="仿宋_GB2312" w:cs="Arial"/>
          <w:kern w:val="0"/>
          <w:sz w:val="32"/>
          <w:szCs w:val="32"/>
        </w:rPr>
        <w:t>1、</w:t>
      </w:r>
      <w:r>
        <w:rPr>
          <w:rFonts w:hint="eastAsia" w:ascii="仿宋_GB2312" w:eastAsia="仿宋_GB2312"/>
          <w:sz w:val="32"/>
          <w:szCs w:val="32"/>
        </w:rPr>
        <w:t>基本支出中人员经费包括工资福利支出和对个人和家庭的补助，日常公用支出包括商品和服务支出、其他资本性支出等人员经费以外的支出。</w:t>
      </w:r>
    </w:p>
    <w:p>
      <w:pPr>
        <w:widowControl/>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2、机关运行经费指行政单位和参照公务员法管理的事业单位使用一般公共预算财政拨款安排的基本支出中的日常公用经费支出。</w:t>
      </w:r>
    </w:p>
    <w:p>
      <w:pPr>
        <w:spacing w:line="360" w:lineRule="auto"/>
        <w:ind w:firstLine="640" w:firstLineChars="200"/>
        <w:rPr>
          <w:rFonts w:hint="eastAsia" w:ascii="仿宋_GB2312" w:hAnsi="仿宋" w:eastAsia="仿宋_GB2312"/>
          <w:sz w:val="32"/>
          <w:szCs w:val="32"/>
        </w:rPr>
      </w:pPr>
      <w:r>
        <w:rPr>
          <w:rFonts w:hint="eastAsia" w:ascii="仿宋_GB2312" w:hAnsi="宋体" w:eastAsia="仿宋_GB2312" w:cs="Arial"/>
          <w:kern w:val="0"/>
          <w:sz w:val="32"/>
          <w:szCs w:val="32"/>
        </w:rPr>
        <w:t>3、</w:t>
      </w:r>
      <w:r>
        <w:rPr>
          <w:rFonts w:hint="eastAsia" w:ascii="仿宋_GB2312" w:eastAsia="仿宋_GB2312"/>
          <w:sz w:val="32"/>
          <w:szCs w:val="32"/>
        </w:rPr>
        <w:t>“三公”经费：按照党中央、国务院有关文件及部门预算管理有关</w:t>
      </w:r>
      <w:r>
        <w:rPr>
          <w:rFonts w:hint="eastAsia" w:ascii="仿宋_GB2312" w:eastAsia="仿宋_GB2312"/>
          <w:color w:val="000000"/>
          <w:sz w:val="32"/>
          <w:szCs w:val="32"/>
        </w:rPr>
        <w:t>规定，纳入省级财政预决算管理的“三公”经费，是指省级部门用财政拨款安排的</w:t>
      </w:r>
      <w:r>
        <w:rPr>
          <w:rFonts w:hint="eastAsia" w:ascii="仿宋_GB2312" w:eastAsia="仿宋_GB2312"/>
          <w:sz w:val="32"/>
          <w:szCs w:val="32"/>
        </w:rPr>
        <w:t>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4、</w:t>
      </w:r>
      <w:r>
        <w:rPr>
          <w:rFonts w:hint="eastAsia" w:ascii="仿宋_GB2312" w:eastAsia="仿宋_GB2312"/>
          <w:sz w:val="32"/>
          <w:szCs w:val="32"/>
        </w:rPr>
        <w:t>“三公”经费决算数：指省级各部门（含下属单位）用</w:t>
      </w:r>
      <w:r>
        <w:rPr>
          <w:rFonts w:hint="eastAsia" w:ascii="仿宋_GB2312" w:eastAsia="仿宋_GB2312"/>
          <w:color w:val="000000"/>
          <w:sz w:val="32"/>
          <w:szCs w:val="32"/>
        </w:rPr>
        <w:t>财政拨款（</w:t>
      </w:r>
      <w:r>
        <w:rPr>
          <w:rFonts w:hint="eastAsia" w:ascii="仿宋_GB2312" w:eastAsia="仿宋_GB2312"/>
          <w:sz w:val="32"/>
          <w:szCs w:val="32"/>
        </w:rPr>
        <w:t>含上年结转结余和当年预算）安排的因公出国（境）费、公务用车购置及运行维护费和公务接待费支出数。</w:t>
      </w:r>
    </w:p>
    <w:p>
      <w:pPr>
        <w:spacing w:line="360" w:lineRule="auto"/>
        <w:ind w:firstLine="480" w:firstLineChars="150"/>
        <w:rPr>
          <w:rFonts w:hint="eastAsia" w:ascii="仿宋_GB2312" w:hAnsi="仿宋" w:eastAsia="仿宋_GB2312"/>
          <w:sz w:val="32"/>
          <w:szCs w:val="32"/>
        </w:rPr>
      </w:pPr>
      <w:r>
        <w:rPr>
          <w:rFonts w:hint="eastAsia" w:ascii="仿宋_GB2312" w:hAnsi="仿宋" w:eastAsia="仿宋_GB2312"/>
          <w:sz w:val="32"/>
          <w:szCs w:val="32"/>
        </w:rPr>
        <w:t>（三）其他说明</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本单位决算公开工作按县财政局规定于2016年10月27日在公开网站上对2015年的部门决算批复数字进行了公开。</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pict>
          <v:shape id="_x0000_s1026" o:spid="_x0000_s1026" o:spt="201" type="#_x0000_t201" style="position:absolute;left:0pt;margin-left:200.25pt;margin-top:13.65pt;height:127.45pt;width:127.45pt;z-index:-251657216;mso-width-relative:page;mso-height-relative:page;" o:ole="t" filled="f" stroked="f" coordsize="21600,21600">
            <v:path/>
            <v:fill on="f" focussize="0,0"/>
            <v:stroke on="f"/>
            <v:imagedata r:id="rId8" o:title=""/>
            <o:lock v:ext="edit"/>
          </v:shape>
          <w:control r:id="rId7" w:name="CWordOLECtrl1" w:shapeid="_x0000_s1026"/>
        </w:pict>
      </w:r>
    </w:p>
    <w:p>
      <w:pPr>
        <w:spacing w:line="360" w:lineRule="auto"/>
        <w:ind w:firstLine="640" w:firstLineChars="200"/>
        <w:rPr>
          <w:rFonts w:hint="eastAsia" w:ascii="仿宋_GB2312" w:hAnsi="仿宋" w:eastAsia="仿宋_GB2312"/>
          <w:sz w:val="32"/>
          <w:szCs w:val="32"/>
        </w:rPr>
      </w:pPr>
    </w:p>
    <w:p>
      <w:pPr>
        <w:spacing w:line="360" w:lineRule="auto"/>
        <w:ind w:firstLine="640" w:firstLineChars="200"/>
        <w:jc w:val="center"/>
        <w:rPr>
          <w:rFonts w:hint="eastAsia" w:ascii="仿宋_GB2312" w:hAnsi="仿宋" w:eastAsia="仿宋_GB2312"/>
          <w:sz w:val="32"/>
          <w:szCs w:val="32"/>
        </w:rPr>
      </w:pPr>
      <w:r>
        <w:rPr>
          <w:rFonts w:hint="eastAsia" w:ascii="仿宋_GB2312" w:hAnsi="仿宋" w:eastAsia="仿宋_GB2312"/>
          <w:sz w:val="32"/>
          <w:szCs w:val="32"/>
        </w:rPr>
        <w:t xml:space="preserve">  陇川县人力资源和社会保障局</w:t>
      </w:r>
    </w:p>
    <w:p>
      <w:pPr>
        <w:widowControl/>
        <w:spacing w:line="360" w:lineRule="auto"/>
        <w:ind w:firstLine="3680" w:firstLineChars="1150"/>
        <w:jc w:val="left"/>
        <w:rPr>
          <w:rFonts w:hint="eastAsia" w:ascii="仿宋_GB2312" w:eastAsia="仿宋_GB2312"/>
          <w:sz w:val="32"/>
          <w:szCs w:val="32"/>
        </w:rPr>
      </w:pPr>
      <w:r>
        <w:rPr>
          <w:rFonts w:hint="eastAsia" w:ascii="仿宋_GB2312" w:eastAsia="仿宋_GB2312"/>
          <w:sz w:val="32"/>
          <w:szCs w:val="32"/>
        </w:rPr>
        <w:t>二O一六年十月二十七日</w:t>
      </w:r>
    </w:p>
    <w:p>
      <w:pPr>
        <w:snapToGrid w:val="0"/>
        <w:spacing w:line="360" w:lineRule="auto"/>
        <w:ind w:firstLine="640" w:firstLineChars="200"/>
        <w:rPr>
          <w:rFonts w:hint="eastAsia" w:ascii="仿宋_GB2312" w:hAnsi="仿宋" w:eastAsia="仿宋_GB2312"/>
          <w:sz w:val="32"/>
          <w:szCs w:val="32"/>
        </w:rPr>
      </w:pPr>
    </w:p>
    <w:p>
      <w:pPr>
        <w:snapToGrid w:val="0"/>
        <w:spacing w:line="360" w:lineRule="auto"/>
        <w:rPr>
          <w:rFonts w:hint="eastAsia" w:ascii="仿宋_GB2312" w:hAnsi="仿宋" w:eastAsia="仿宋_GB2312"/>
          <w:sz w:val="32"/>
          <w:szCs w:val="32"/>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55E61"/>
    <w:multiLevelType w:val="multilevel"/>
    <w:tmpl w:val="1FD55E6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0F"/>
    <w:rsid w:val="00007FCB"/>
    <w:rsid w:val="00047015"/>
    <w:rsid w:val="00053781"/>
    <w:rsid w:val="000A11D5"/>
    <w:rsid w:val="000A62D4"/>
    <w:rsid w:val="000D262E"/>
    <w:rsid w:val="000D5344"/>
    <w:rsid w:val="000E2101"/>
    <w:rsid w:val="000F18BB"/>
    <w:rsid w:val="000F4819"/>
    <w:rsid w:val="001041DC"/>
    <w:rsid w:val="00131FAC"/>
    <w:rsid w:val="001425EA"/>
    <w:rsid w:val="00154184"/>
    <w:rsid w:val="0016129E"/>
    <w:rsid w:val="00172EFF"/>
    <w:rsid w:val="00180ED6"/>
    <w:rsid w:val="00186CA0"/>
    <w:rsid w:val="001C653A"/>
    <w:rsid w:val="001E6BBB"/>
    <w:rsid w:val="00204E5D"/>
    <w:rsid w:val="00207D9B"/>
    <w:rsid w:val="002151A7"/>
    <w:rsid w:val="00230D2B"/>
    <w:rsid w:val="00250AE9"/>
    <w:rsid w:val="00255EF3"/>
    <w:rsid w:val="00257437"/>
    <w:rsid w:val="00266B9C"/>
    <w:rsid w:val="0026717D"/>
    <w:rsid w:val="002917B9"/>
    <w:rsid w:val="002A218C"/>
    <w:rsid w:val="002B0E34"/>
    <w:rsid w:val="002B135F"/>
    <w:rsid w:val="002B3AF3"/>
    <w:rsid w:val="002D24E3"/>
    <w:rsid w:val="002D79D1"/>
    <w:rsid w:val="002F4FB1"/>
    <w:rsid w:val="00307992"/>
    <w:rsid w:val="0032007C"/>
    <w:rsid w:val="00372CC4"/>
    <w:rsid w:val="003730F4"/>
    <w:rsid w:val="00375028"/>
    <w:rsid w:val="003847B6"/>
    <w:rsid w:val="0039025C"/>
    <w:rsid w:val="0039363E"/>
    <w:rsid w:val="003A3A12"/>
    <w:rsid w:val="003C2B6A"/>
    <w:rsid w:val="003C41FE"/>
    <w:rsid w:val="003E699A"/>
    <w:rsid w:val="003F50FF"/>
    <w:rsid w:val="0041463D"/>
    <w:rsid w:val="0046344A"/>
    <w:rsid w:val="0047391C"/>
    <w:rsid w:val="004750E0"/>
    <w:rsid w:val="00475852"/>
    <w:rsid w:val="00480133"/>
    <w:rsid w:val="00480B7F"/>
    <w:rsid w:val="004A257E"/>
    <w:rsid w:val="004D1150"/>
    <w:rsid w:val="004E1D49"/>
    <w:rsid w:val="004F177D"/>
    <w:rsid w:val="004F4962"/>
    <w:rsid w:val="00535FC8"/>
    <w:rsid w:val="00550D58"/>
    <w:rsid w:val="0057075A"/>
    <w:rsid w:val="0057565D"/>
    <w:rsid w:val="00581E52"/>
    <w:rsid w:val="0058206B"/>
    <w:rsid w:val="005A0BCE"/>
    <w:rsid w:val="005E04B4"/>
    <w:rsid w:val="005F5A98"/>
    <w:rsid w:val="00602F9E"/>
    <w:rsid w:val="006041C2"/>
    <w:rsid w:val="00622DFA"/>
    <w:rsid w:val="00623FA6"/>
    <w:rsid w:val="00663BE5"/>
    <w:rsid w:val="006819A9"/>
    <w:rsid w:val="00696BF9"/>
    <w:rsid w:val="006D211F"/>
    <w:rsid w:val="006D61F5"/>
    <w:rsid w:val="006F0A6C"/>
    <w:rsid w:val="00700E2A"/>
    <w:rsid w:val="007138EF"/>
    <w:rsid w:val="007444FE"/>
    <w:rsid w:val="007517C6"/>
    <w:rsid w:val="00761A73"/>
    <w:rsid w:val="0079566D"/>
    <w:rsid w:val="00796253"/>
    <w:rsid w:val="007B40DA"/>
    <w:rsid w:val="007B5038"/>
    <w:rsid w:val="007B71E7"/>
    <w:rsid w:val="007D7938"/>
    <w:rsid w:val="007F4235"/>
    <w:rsid w:val="008033BA"/>
    <w:rsid w:val="00807058"/>
    <w:rsid w:val="00840FDA"/>
    <w:rsid w:val="0086680A"/>
    <w:rsid w:val="00866AA9"/>
    <w:rsid w:val="00892B03"/>
    <w:rsid w:val="00897F39"/>
    <w:rsid w:val="008A2941"/>
    <w:rsid w:val="008E3BE9"/>
    <w:rsid w:val="008E5B56"/>
    <w:rsid w:val="008E66C3"/>
    <w:rsid w:val="009004F9"/>
    <w:rsid w:val="00917BEF"/>
    <w:rsid w:val="00942E50"/>
    <w:rsid w:val="00950928"/>
    <w:rsid w:val="0095322E"/>
    <w:rsid w:val="00961E9D"/>
    <w:rsid w:val="00966A08"/>
    <w:rsid w:val="0097165E"/>
    <w:rsid w:val="00990065"/>
    <w:rsid w:val="00993483"/>
    <w:rsid w:val="009A2E13"/>
    <w:rsid w:val="009A3A61"/>
    <w:rsid w:val="009B32AD"/>
    <w:rsid w:val="009D6337"/>
    <w:rsid w:val="009E0116"/>
    <w:rsid w:val="009F590C"/>
    <w:rsid w:val="00A009EB"/>
    <w:rsid w:val="00A016B6"/>
    <w:rsid w:val="00A04E95"/>
    <w:rsid w:val="00A50F84"/>
    <w:rsid w:val="00AB0AD0"/>
    <w:rsid w:val="00AF057C"/>
    <w:rsid w:val="00B1047E"/>
    <w:rsid w:val="00B21EDB"/>
    <w:rsid w:val="00B27F23"/>
    <w:rsid w:val="00B3060A"/>
    <w:rsid w:val="00B309F0"/>
    <w:rsid w:val="00B52008"/>
    <w:rsid w:val="00B64303"/>
    <w:rsid w:val="00B8031F"/>
    <w:rsid w:val="00B93270"/>
    <w:rsid w:val="00B93C5E"/>
    <w:rsid w:val="00BA6114"/>
    <w:rsid w:val="00BB2F17"/>
    <w:rsid w:val="00BB6D03"/>
    <w:rsid w:val="00BD333A"/>
    <w:rsid w:val="00BD52E5"/>
    <w:rsid w:val="00C2118E"/>
    <w:rsid w:val="00C42803"/>
    <w:rsid w:val="00C51E8A"/>
    <w:rsid w:val="00C52D7A"/>
    <w:rsid w:val="00C6104B"/>
    <w:rsid w:val="00C633E7"/>
    <w:rsid w:val="00C824F0"/>
    <w:rsid w:val="00CA43B8"/>
    <w:rsid w:val="00CE1DED"/>
    <w:rsid w:val="00CE5592"/>
    <w:rsid w:val="00CF0C60"/>
    <w:rsid w:val="00D15A88"/>
    <w:rsid w:val="00D20367"/>
    <w:rsid w:val="00D21ADF"/>
    <w:rsid w:val="00D63D87"/>
    <w:rsid w:val="00D73C65"/>
    <w:rsid w:val="00D81F26"/>
    <w:rsid w:val="00DA5741"/>
    <w:rsid w:val="00DC2DE4"/>
    <w:rsid w:val="00DC6D05"/>
    <w:rsid w:val="00DD1BF4"/>
    <w:rsid w:val="00DE7FAD"/>
    <w:rsid w:val="00DF260E"/>
    <w:rsid w:val="00DF3C0D"/>
    <w:rsid w:val="00DF5761"/>
    <w:rsid w:val="00DF6BDB"/>
    <w:rsid w:val="00E103B8"/>
    <w:rsid w:val="00E11E2E"/>
    <w:rsid w:val="00E133FE"/>
    <w:rsid w:val="00E16315"/>
    <w:rsid w:val="00E7196B"/>
    <w:rsid w:val="00E911C1"/>
    <w:rsid w:val="00EA5D74"/>
    <w:rsid w:val="00EE56F9"/>
    <w:rsid w:val="00F03509"/>
    <w:rsid w:val="00F070C7"/>
    <w:rsid w:val="00F07C29"/>
    <w:rsid w:val="00F13845"/>
    <w:rsid w:val="00F20D5E"/>
    <w:rsid w:val="00F252A2"/>
    <w:rsid w:val="00F4660D"/>
    <w:rsid w:val="00F47DC4"/>
    <w:rsid w:val="00F6210F"/>
    <w:rsid w:val="00F65773"/>
    <w:rsid w:val="00F70895"/>
    <w:rsid w:val="00F9665C"/>
    <w:rsid w:val="00FA4C12"/>
    <w:rsid w:val="00FB138C"/>
    <w:rsid w:val="00FB5D55"/>
    <w:rsid w:val="00FB7E98"/>
    <w:rsid w:val="00FC498F"/>
    <w:rsid w:val="00FE18FD"/>
    <w:rsid w:val="00FE3C92"/>
    <w:rsid w:val="00FE65B8"/>
    <w:rsid w:val="23B60A37"/>
    <w:rsid w:val="73C127DE"/>
    <w:rsid w:val="77C14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uiPriority w:val="0"/>
    <w:tblPr>
      <w:tblCellMar>
        <w:top w:w="0" w:type="dxa"/>
        <w:left w:w="108" w:type="dxa"/>
        <w:bottom w:w="0" w:type="dxa"/>
        <w:right w:w="108" w:type="dxa"/>
      </w:tblCellMar>
    </w:tblPr>
  </w:style>
  <w:style w:type="paragraph" w:styleId="2">
    <w:name w:val="Document Map"/>
    <w:basedOn w:val="1"/>
    <w:link w:val="10"/>
    <w:qFormat/>
    <w:uiPriority w:val="0"/>
    <w:rPr>
      <w:rFonts w:ascii="宋体"/>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customStyle="1" w:styleId="8">
    <w:name w:val="页眉 Char"/>
    <w:basedOn w:val="6"/>
    <w:link w:val="4"/>
    <w:qFormat/>
    <w:uiPriority w:val="0"/>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文档结构图 Char"/>
    <w:basedOn w:val="6"/>
    <w:link w:val="2"/>
    <w:qFormat/>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2024-03-11T07:04:00Z</dcterms:created>
  <dc:creator>Administrator</dc:creator>
  <cp:lastModifiedBy>Administrator</cp:lastModifiedBy>
  <dcterms:modified xsi:type="dcterms:W3CDTF">2024-05-16T02:58:59Z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65D715E0DC784F38A4FF3E251C90713C</vt:lpwstr>
  </property>
</Properties>
</file>