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7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baseline"/>
        <w:outlineLvl w:val="9"/>
        <w:rPr>
          <w:rFonts w:hint="eastAsia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  <w:t>201</w:t>
      </w:r>
      <w:r>
        <w:rPr>
          <w:rFonts w:hint="eastAsia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  <w:t>7</w:t>
      </w:r>
      <w:r>
        <w:rPr>
          <w:rFonts w:hint="default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  <w:t>年度</w:t>
      </w:r>
      <w:r>
        <w:rPr>
          <w:rFonts w:hint="eastAsia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  <w:t>决</w:t>
      </w:r>
      <w:r>
        <w:rPr>
          <w:rFonts w:hint="default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  <w:t>算</w:t>
      </w:r>
      <w:r>
        <w:rPr>
          <w:rFonts w:hint="eastAsia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  <w:t>说明补充公开</w:t>
      </w:r>
    </w:p>
    <w:p>
      <w:pPr>
        <w:widowControl/>
        <w:ind w:firstLine="300" w:firstLineChars="100"/>
        <w:jc w:val="left"/>
        <w:rPr>
          <w:rFonts w:hint="default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一</w:t>
      </w:r>
      <w:r>
        <w:rPr>
          <w:rFonts w:hint="eastAsia" w:ascii="楷体_GB2312" w:eastAsia="楷体_GB2312"/>
          <w:kern w:val="0"/>
          <w:sz w:val="30"/>
          <w:szCs w:val="30"/>
        </w:rPr>
        <w:t>）机构设置情况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27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陇川县民政局有14个股室。内设机构6个，包括：办公室、优抚安置股、 救灾股、社会救助股（社会事务股、社会福利和慈善事业促进股）、基层政权和社区建设股、区划地名和民间组织管理股。陇川县民政局所属单位8个，包括：陇川县章凤敬老院、城子敬老院、户撒敬老院、儿童福利救助安置指导中心、居民家庭经济情况核对中心、公墓管理所、军队离退休干部休养所、老龄办。</w:t>
      </w:r>
      <w:bookmarkStart w:id="0" w:name="_GoBack"/>
      <w:bookmarkEnd w:id="0"/>
    </w:p>
    <w:p>
      <w:pPr>
        <w:widowControl/>
        <w:ind w:firstLine="300" w:firstLineChars="100"/>
        <w:jc w:val="left"/>
        <w:rPr>
          <w:rFonts w:hint="default" w:ascii="仿宋_GB2312" w:hAnsi="仿宋" w:eastAsia="仿宋_GB2312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二</w:t>
      </w:r>
      <w:r>
        <w:rPr>
          <w:rFonts w:hint="eastAsia" w:ascii="楷体_GB2312" w:eastAsia="楷体_GB2312"/>
          <w:kern w:val="0"/>
          <w:sz w:val="30"/>
          <w:szCs w:val="30"/>
        </w:rPr>
        <w:t>）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重点绩效评价结果等预算绩效情况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27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局在部门整体支出中，严格遵守资金管理制度，强化监督，专款专用，理顺资金支付渠道，确保各项资金及时到位，无截留、挪用等现象。以提高基本民生保障水平、加强和创新社会管理、增强基层民政能力为重点，进一步规范资金的管理，推进民政服务管理社会化、科学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7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着力保障特困人员、低保对象、孤儿、孤老基本生活，不愁吃、不愁穿，维护社会稳定；全社会更加关心、关爱残疾人；优抚资金及时足额发放；医疗救助资金及时到位；引导群众树立文明节俭丧葬新风。增加特困人员、低保对象、孤儿、困境儿童、残疾人重点优抚对象等困难群众生活满意度；调动适龄青年应征入伍积极性；推进绿色殡葬，大力推动两型社会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7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通过项目的实施，全县特困人员、低保对象、孤儿、困境儿童、残疾人重点优抚对象等困难群众得到了救助，保障标准逐步提高，已形成了同其他社会保障措施相配套、覆盖全县特困人员、低保对象、孤儿、困境儿童、残疾人重点优抚对象等困难群众生活保障体系，切实解决了群众的吃饭、穿衣、住房、就学及就医等实际问题，共享改革发展成果,充分体现了社会主义制度的优越性。</w:t>
      </w:r>
    </w:p>
    <w:p>
      <w:pPr>
        <w:pStyle w:val="5"/>
        <w:shd w:val="clear" w:color="auto" w:fill="FFFFFF"/>
        <w:spacing w:before="0" w:beforeAutospacing="0" w:after="0" w:afterAutospacing="0"/>
        <w:ind w:firstLine="662" w:firstLineChars="207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62" w:firstLineChars="207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62" w:firstLineChars="207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62" w:firstLineChars="207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5440" w:firstLineChars="1700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陇川县民政局</w:t>
      </w:r>
    </w:p>
    <w:p>
      <w:pPr>
        <w:pStyle w:val="5"/>
        <w:shd w:val="clear" w:color="auto" w:fill="FFFFFF"/>
        <w:spacing w:before="0" w:beforeAutospacing="0" w:after="0" w:afterAutospacing="0"/>
        <w:ind w:firstLine="662" w:firstLineChars="207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2019年1月18日</w:t>
      </w:r>
    </w:p>
    <w:p>
      <w:pP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文鼎ＰＯＰ－４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中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等线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凌波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南宫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双线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太极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方隶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漫步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秀英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细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花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萝卜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醒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大黑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鼎繁中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经典繁印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PYuanYuanW2-B5">
    <w:altName w:val="MingLiU-ExtB"/>
    <w:panose1 w:val="040B0200000000000000"/>
    <w:charset w:val="88"/>
    <w:family w:val="auto"/>
    <w:pitch w:val="default"/>
    <w:sig w:usb0="00000000" w:usb1="00000000" w:usb2="00000016" w:usb3="00000000" w:csb0="0010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HanWangCC02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华康简魏碑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魏碑W7">
    <w:altName w:val="宋体"/>
    <w:panose1 w:val="03000709000000000000"/>
    <w:charset w:val="86"/>
    <w:family w:val="auto"/>
    <w:pitch w:val="default"/>
    <w:sig w:usb0="00000000" w:usb1="00000000" w:usb2="00000012" w:usb3="00000000" w:csb0="00040000" w:csb1="00000000"/>
  </w:font>
  <w:font w:name="华康魏碑W7(P)">
    <w:altName w:val="宋体"/>
    <w:panose1 w:val="03000700000000000000"/>
    <w:charset w:val="86"/>
    <w:family w:val="auto"/>
    <w:pitch w:val="default"/>
    <w:sig w:usb0="00000000" w:usb1="0000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文鼎CS大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雕刻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彩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方叠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DFYuanYuanW2-B5">
    <w:altName w:val="MingLiU-ExtB"/>
    <w:panose1 w:val="040B0209000000000000"/>
    <w:charset w:val="88"/>
    <w:family w:val="auto"/>
    <w:pitch w:val="default"/>
    <w:sig w:usb0="00000000" w:usb1="00000000" w:usb2="00000016" w:usb3="00000000" w:csb0="00100000" w:csb1="00000000"/>
  </w:font>
  <w:font w:name="DFKai-SB">
    <w:altName w:val="MingLiU-ExtB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金梅海報大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白立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汉真广标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中特广告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苏新诗卵石体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菱心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行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华康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哈哈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方叠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立黑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长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繁圆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汉鼎繁颜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水波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潇洒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圆叠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水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圆叠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810EE"/>
    <w:rsid w:val="11E31408"/>
    <w:rsid w:val="17126290"/>
    <w:rsid w:val="1BE6416D"/>
    <w:rsid w:val="1F3810EE"/>
    <w:rsid w:val="299F7585"/>
    <w:rsid w:val="32882218"/>
    <w:rsid w:val="41036ABF"/>
    <w:rsid w:val="44E24239"/>
    <w:rsid w:val="46A8682B"/>
    <w:rsid w:val="5C4676D2"/>
    <w:rsid w:val="6DF874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2019-01-18T03:06:00Z</dcterms:created>
  <dc:creator>lenovo1</dc:creator>
  <cp:lastModifiedBy>lenovo1</cp:lastModifiedBy>
  <dcterms:modified xsi:type="dcterms:W3CDTF">2019-01-18T08:29:15Z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