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陇川县城子镇中心学校</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黑体" w:hAnsi="黑体" w:eastAsia="黑体"/>
          <w:sz w:val="30"/>
          <w:szCs w:val="30"/>
        </w:rPr>
      </w:pP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城子镇</w:t>
      </w:r>
      <w:r>
        <w:rPr>
          <w:rFonts w:hint="eastAsia" w:ascii="黑体" w:hAnsi="黑体" w:eastAsia="黑体"/>
          <w:sz w:val="30"/>
          <w:szCs w:val="30"/>
        </w:rPr>
        <w:t>中心学校2018年部门预算编制说明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城子镇</w:t>
      </w:r>
      <w:r>
        <w:rPr>
          <w:rFonts w:hint="eastAsia" w:ascii="黑体" w:hAnsi="黑体" w:eastAsia="黑体"/>
          <w:sz w:val="30"/>
          <w:szCs w:val="30"/>
        </w:rPr>
        <w:t>中心学校2018年部门预算表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widowControl/>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bookmarkStart w:id="0" w:name="_GoBack"/>
      <w:bookmarkEnd w:id="0"/>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300" w:firstLineChars="100"/>
        <w:jc w:val="left"/>
        <w:rPr>
          <w:rFonts w:hint="eastAsia" w:eastAsia="仿宋_GB2312"/>
          <w:kern w:val="0"/>
          <w:sz w:val="30"/>
          <w:szCs w:val="30"/>
        </w:rPr>
      </w:pPr>
      <w:r>
        <w:rPr>
          <w:rFonts w:hint="eastAsia" w:eastAsia="仿宋_GB2312"/>
          <w:kern w:val="0"/>
          <w:sz w:val="30"/>
          <w:szCs w:val="30"/>
        </w:rPr>
        <w:t>城子中心学校作为城子镇教育行政主管部门，一是要认真贯彻执行党的教育方针、政策及镇政府和县教育局的工作指示，认真做好我辖区学校的发展规划、基础设施建设；二是要结合本镇学校实际，制定符合本镇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镇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镇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300" w:firstLineChars="100"/>
        <w:jc w:val="left"/>
        <w:rPr>
          <w:rFonts w:hint="eastAsia" w:eastAsia="仿宋_GB2312"/>
          <w:kern w:val="0"/>
          <w:sz w:val="30"/>
          <w:szCs w:val="30"/>
          <w:lang w:val="en-US" w:eastAsia="zh-CN"/>
        </w:rPr>
      </w:pPr>
      <w:r>
        <w:rPr>
          <w:rFonts w:hint="eastAsia" w:eastAsia="仿宋_GB2312"/>
          <w:kern w:val="0"/>
          <w:sz w:val="30"/>
          <w:szCs w:val="30"/>
          <w:lang w:val="en-US" w:eastAsia="zh-CN"/>
        </w:rPr>
        <w:t>陇川县城子镇中心学校位于陇川县城子镇团结路17号，辖2所完小、4个教学点和1所公办幼儿园，一所成人文化技术学校。其中2所完小，即中心小学和姐乌小学；4个教学点即巴达小学、新寨小学、慕水小学、撒定小学；1所公办幼儿园，城子幼儿园。城子镇中心学校是一个独立编制结构，也是一个独立核算机构，属于财政全额拨款事业单位。学校全面贯彻国家教育方针，教书育人，培养学生全面发展。</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rPr>
        <w:t>巩固提升均衡发展成果，努力提高教育教学质量</w:t>
      </w:r>
      <w:r>
        <w:rPr>
          <w:rFonts w:hint="eastAsia" w:eastAsia="仿宋_GB2312"/>
          <w:kern w:val="0"/>
          <w:sz w:val="30"/>
          <w:szCs w:val="30"/>
          <w:lang w:eastAsia="zh-CN"/>
        </w:rPr>
        <w:t>。</w:t>
      </w:r>
      <w:r>
        <w:rPr>
          <w:rFonts w:hint="eastAsia" w:eastAsia="仿宋_GB2312"/>
          <w:kern w:val="0"/>
          <w:sz w:val="30"/>
          <w:szCs w:val="30"/>
        </w:rPr>
        <w:t>各学校严格按照《城子镇中心学校控辍保学实施方案》要求，加大对辖区各学校“控辍保学”监管力度，建立健全“控辍保学”工作机制，确保适龄少年儿童完成义务教育，确保全镇辖区各义务教育学校适龄儿童入学率达100%，巩固率达100%</w:t>
      </w:r>
      <w:r>
        <w:rPr>
          <w:rFonts w:hint="eastAsia" w:eastAsia="仿宋_GB2312"/>
          <w:kern w:val="0"/>
          <w:sz w:val="30"/>
          <w:szCs w:val="30"/>
          <w:lang w:eastAsia="zh-CN"/>
        </w:rPr>
        <w:t>；</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rPr>
        <w:t>抓校园文化建设，促进学校特色彰显</w:t>
      </w:r>
      <w:r>
        <w:rPr>
          <w:rFonts w:hint="eastAsia" w:eastAsia="仿宋_GB2312"/>
          <w:kern w:val="0"/>
          <w:sz w:val="30"/>
          <w:szCs w:val="30"/>
          <w:lang w:eastAsia="zh-CN"/>
        </w:rPr>
        <w:t>。</w:t>
      </w:r>
      <w:r>
        <w:rPr>
          <w:rFonts w:hint="eastAsia" w:eastAsia="仿宋_GB2312"/>
          <w:kern w:val="0"/>
          <w:sz w:val="30"/>
          <w:szCs w:val="30"/>
        </w:rPr>
        <w:t>全面推进依法治校，切实做好学校章程建设</w:t>
      </w:r>
      <w:r>
        <w:rPr>
          <w:rFonts w:hint="eastAsia" w:eastAsia="仿宋_GB2312"/>
          <w:kern w:val="0"/>
          <w:sz w:val="30"/>
          <w:szCs w:val="30"/>
          <w:lang w:eastAsia="zh-CN"/>
        </w:rPr>
        <w:t>，</w:t>
      </w:r>
      <w:r>
        <w:rPr>
          <w:rFonts w:hint="eastAsia" w:eastAsia="仿宋_GB2312"/>
          <w:kern w:val="0"/>
          <w:sz w:val="30"/>
          <w:szCs w:val="30"/>
        </w:rPr>
        <w:t>切实加强班子成员和党员工作建设</w:t>
      </w:r>
      <w:r>
        <w:rPr>
          <w:rFonts w:hint="eastAsia" w:eastAsia="仿宋_GB2312"/>
          <w:kern w:val="0"/>
          <w:sz w:val="30"/>
          <w:szCs w:val="30"/>
          <w:lang w:eastAsia="zh-CN"/>
        </w:rPr>
        <w:t>。</w:t>
      </w:r>
      <w:r>
        <w:rPr>
          <w:rFonts w:hint="eastAsia" w:eastAsia="仿宋_GB2312"/>
          <w:kern w:val="0"/>
          <w:sz w:val="30"/>
          <w:szCs w:val="30"/>
        </w:rPr>
        <w:t>抓实中心校领导班子业务建设，坚持在每次的班子例会上，组织学习国家方针政策及业务理论知识，不断提高班子成员的理论水平和业务能力，为领导班子提供交流、合作、团结奋进的平台，建立健全党内制度，梳理管控廉政风险、师德师风风险。把党支部活动与学校教育教学协同推进</w:t>
      </w:r>
      <w:r>
        <w:rPr>
          <w:rFonts w:hint="eastAsia" w:eastAsia="仿宋_GB2312"/>
          <w:kern w:val="0"/>
          <w:sz w:val="30"/>
          <w:szCs w:val="30"/>
          <w:lang w:eastAsia="zh-CN"/>
        </w:rPr>
        <w:t>；</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rPr>
        <w:t>狠抓教学质量</w:t>
      </w:r>
      <w:r>
        <w:rPr>
          <w:rFonts w:hint="eastAsia" w:eastAsia="仿宋_GB2312"/>
          <w:kern w:val="0"/>
          <w:sz w:val="30"/>
          <w:szCs w:val="30"/>
          <w:lang w:eastAsia="zh-CN"/>
        </w:rPr>
        <w:t>。</w:t>
      </w:r>
      <w:r>
        <w:rPr>
          <w:rFonts w:hint="eastAsia" w:eastAsia="仿宋_GB2312"/>
          <w:kern w:val="0"/>
          <w:sz w:val="30"/>
          <w:szCs w:val="30"/>
        </w:rPr>
        <w:t>对辖区各校（园）教学常规进行检查要形成常态化，并追踪整改情况；硬性要求教师通过互相听评课、集体备课等形式来提高教师业务素质；督促教师认真制定各学科提高教学质量的具体措施，注重抓住影响教学质量的关键环节，关键学科，关键教师；严格考风考纪，规范考试管理，确保学生考出自己的真实水平；毕业班要继续落实月考制，分层次辅导，不断加大六年级的培优补差力度</w:t>
      </w:r>
      <w:r>
        <w:rPr>
          <w:rFonts w:hint="eastAsia" w:eastAsia="仿宋_GB2312"/>
          <w:kern w:val="0"/>
          <w:sz w:val="30"/>
          <w:szCs w:val="30"/>
          <w:lang w:eastAsia="zh-CN"/>
        </w:rPr>
        <w:t>；</w:t>
      </w:r>
    </w:p>
    <w:p>
      <w:pPr>
        <w:widowControl/>
        <w:ind w:firstLine="600" w:firstLineChars="200"/>
        <w:jc w:val="left"/>
        <w:rPr>
          <w:rFonts w:hint="eastAsia" w:eastAsia="仿宋_GB2312"/>
          <w:kern w:val="0"/>
          <w:sz w:val="30"/>
          <w:szCs w:val="30"/>
        </w:rPr>
      </w:pPr>
      <w:r>
        <w:rPr>
          <w:rFonts w:hint="eastAsia" w:eastAsia="仿宋_GB2312"/>
          <w:kern w:val="0"/>
          <w:sz w:val="30"/>
          <w:szCs w:val="30"/>
        </w:rPr>
        <w:t>严格落实校园安全管理责任制</w:t>
      </w:r>
      <w:r>
        <w:rPr>
          <w:rFonts w:hint="eastAsia" w:eastAsia="仿宋_GB2312"/>
          <w:kern w:val="0"/>
          <w:sz w:val="30"/>
          <w:szCs w:val="30"/>
          <w:lang w:eastAsia="zh-CN"/>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在职人员编制</w:t>
      </w:r>
      <w:r>
        <w:rPr>
          <w:rFonts w:hint="eastAsia" w:eastAsia="仿宋_GB2312"/>
          <w:color w:val="000000" w:themeColor="text1"/>
          <w:kern w:val="0"/>
          <w:sz w:val="30"/>
          <w:szCs w:val="30"/>
          <w:lang w:val="en-US" w:eastAsia="zh-CN"/>
          <w14:textFill>
            <w14:solidFill>
              <w14:schemeClr w14:val="tx1"/>
            </w14:solidFill>
          </w14:textFill>
        </w:rPr>
        <w:t>133</w:t>
      </w:r>
      <w:r>
        <w:rPr>
          <w:rFonts w:eastAsia="仿宋_GB2312"/>
          <w:color w:val="000000" w:themeColor="text1"/>
          <w:kern w:val="0"/>
          <w:sz w:val="30"/>
          <w:szCs w:val="30"/>
          <w14:textFill>
            <w14:solidFill>
              <w14:schemeClr w14:val="tx1"/>
            </w14:solidFill>
          </w14:textFill>
        </w:rPr>
        <w:t>人，其中：行政编制</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人，事业编制</w:t>
      </w:r>
      <w:r>
        <w:rPr>
          <w:rFonts w:hint="eastAsia" w:eastAsia="仿宋_GB2312"/>
          <w:color w:val="000000" w:themeColor="text1"/>
          <w:kern w:val="0"/>
          <w:sz w:val="30"/>
          <w:szCs w:val="30"/>
          <w:lang w:val="en-US" w:eastAsia="zh-CN"/>
          <w14:textFill>
            <w14:solidFill>
              <w14:schemeClr w14:val="tx1"/>
            </w14:solidFill>
          </w14:textFill>
        </w:rPr>
        <w:t>133</w:t>
      </w:r>
      <w:r>
        <w:rPr>
          <w:rFonts w:eastAsia="仿宋_GB2312"/>
          <w:color w:val="000000" w:themeColor="text1"/>
          <w:kern w:val="0"/>
          <w:sz w:val="30"/>
          <w:szCs w:val="30"/>
          <w14:textFill>
            <w14:solidFill>
              <w14:schemeClr w14:val="tx1"/>
            </w14:solidFill>
          </w14:textFill>
        </w:rPr>
        <w:t>人。在职实有</w:t>
      </w:r>
      <w:r>
        <w:rPr>
          <w:rFonts w:hint="eastAsia" w:eastAsia="仿宋_GB2312"/>
          <w:color w:val="000000" w:themeColor="text1"/>
          <w:kern w:val="0"/>
          <w:sz w:val="30"/>
          <w:szCs w:val="30"/>
          <w:lang w:val="en-US" w:eastAsia="zh-CN"/>
          <w14:textFill>
            <w14:solidFill>
              <w14:schemeClr w14:val="tx1"/>
            </w14:solidFill>
          </w14:textFill>
        </w:rPr>
        <w:t>136人</w:t>
      </w:r>
      <w:r>
        <w:rPr>
          <w:rFonts w:eastAsia="仿宋_GB2312"/>
          <w:color w:val="000000" w:themeColor="text1"/>
          <w:kern w:val="0"/>
          <w:sz w:val="30"/>
          <w:szCs w:val="30"/>
          <w14:textFill>
            <w14:solidFill>
              <w14:schemeClr w14:val="tx1"/>
            </w14:solidFill>
          </w14:textFill>
        </w:rPr>
        <w:t>，其中： 财政全供养</w:t>
      </w:r>
      <w:r>
        <w:rPr>
          <w:rFonts w:hint="eastAsia" w:eastAsia="仿宋_GB2312"/>
          <w:color w:val="000000" w:themeColor="text1"/>
          <w:kern w:val="0"/>
          <w:sz w:val="30"/>
          <w:szCs w:val="30"/>
          <w:lang w:val="en-US" w:eastAsia="zh-CN"/>
          <w14:textFill>
            <w14:solidFill>
              <w14:schemeClr w14:val="tx1"/>
            </w14:solidFill>
          </w14:textFill>
        </w:rPr>
        <w:t>136</w:t>
      </w:r>
      <w:r>
        <w:rPr>
          <w:rFonts w:eastAsia="仿宋_GB2312"/>
          <w:color w:val="000000" w:themeColor="text1"/>
          <w:kern w:val="0"/>
          <w:sz w:val="30"/>
          <w:szCs w:val="30"/>
          <w14:textFill>
            <w14:solidFill>
              <w14:schemeClr w14:val="tx1"/>
            </w14:solidFill>
          </w14:textFill>
        </w:rPr>
        <w:t>人，财政部分供养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人，非财政供养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离退休人员</w:t>
      </w:r>
      <w:r>
        <w:rPr>
          <w:rFonts w:hint="eastAsia" w:eastAsia="仿宋_GB2312"/>
          <w:color w:val="000000" w:themeColor="text1"/>
          <w:kern w:val="0"/>
          <w:sz w:val="30"/>
          <w:szCs w:val="30"/>
          <w:lang w:val="en-US" w:eastAsia="zh-CN"/>
          <w14:textFill>
            <w14:solidFill>
              <w14:schemeClr w14:val="tx1"/>
            </w14:solidFill>
          </w14:textFill>
        </w:rPr>
        <w:t>1</w:t>
      </w:r>
      <w:r>
        <w:rPr>
          <w:rFonts w:eastAsia="仿宋_GB2312"/>
          <w:color w:val="000000" w:themeColor="text1"/>
          <w:kern w:val="0"/>
          <w:sz w:val="30"/>
          <w:szCs w:val="30"/>
          <w14:textFill>
            <w14:solidFill>
              <w14:schemeClr w14:val="tx1"/>
            </w14:solidFill>
          </w14:textFill>
        </w:rPr>
        <w:t>人，其中： 离休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人，退休</w:t>
      </w:r>
      <w:r>
        <w:rPr>
          <w:rFonts w:hint="eastAsia" w:eastAsia="仿宋_GB2312"/>
          <w:color w:val="000000" w:themeColor="text1"/>
          <w:kern w:val="0"/>
          <w:sz w:val="30"/>
          <w:szCs w:val="30"/>
          <w:lang w:val="en-US" w:eastAsia="zh-CN"/>
          <w14:textFill>
            <w14:solidFill>
              <w14:schemeClr w14:val="tx1"/>
            </w14:solidFill>
          </w14:textFill>
        </w:rPr>
        <w:t>1</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2215.19</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2173.23</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41.96</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2215.19</w:t>
      </w:r>
      <w:r>
        <w:rPr>
          <w:rFonts w:eastAsia="仿宋_GB2312"/>
          <w:kern w:val="0"/>
          <w:sz w:val="30"/>
          <w:szCs w:val="30"/>
        </w:rPr>
        <w:t>万元，其中:本年收入</w:t>
      </w:r>
      <w:r>
        <w:rPr>
          <w:rFonts w:hint="eastAsia" w:eastAsia="仿宋_GB2312"/>
          <w:kern w:val="0"/>
          <w:sz w:val="30"/>
          <w:szCs w:val="30"/>
          <w:lang w:val="en-US" w:eastAsia="zh-CN"/>
        </w:rPr>
        <w:t>2173.23</w:t>
      </w:r>
      <w:r>
        <w:rPr>
          <w:rFonts w:eastAsia="仿宋_GB2312"/>
          <w:kern w:val="0"/>
          <w:sz w:val="30"/>
          <w:szCs w:val="30"/>
        </w:rPr>
        <w:t>万元，上年结转</w:t>
      </w:r>
      <w:r>
        <w:rPr>
          <w:rFonts w:hint="eastAsia" w:eastAsia="仿宋_GB2312"/>
          <w:kern w:val="0"/>
          <w:sz w:val="30"/>
          <w:szCs w:val="30"/>
          <w:lang w:val="en-US" w:eastAsia="zh-CN"/>
        </w:rPr>
        <w:t>41.96</w:t>
      </w:r>
      <w:r>
        <w:rPr>
          <w:rFonts w:eastAsia="仿宋_GB2312"/>
          <w:kern w:val="0"/>
          <w:sz w:val="30"/>
          <w:szCs w:val="30"/>
        </w:rPr>
        <w:t>万元。本年收入中，一般公共预算财政拨款</w:t>
      </w:r>
      <w:r>
        <w:rPr>
          <w:rFonts w:hint="eastAsia" w:eastAsia="仿宋_GB2312"/>
          <w:kern w:val="0"/>
          <w:sz w:val="30"/>
          <w:szCs w:val="30"/>
          <w:lang w:val="en-US" w:eastAsia="zh-CN"/>
        </w:rPr>
        <w:t>2173.23</w:t>
      </w:r>
      <w:r>
        <w:rPr>
          <w:rFonts w:eastAsia="仿宋_GB2312"/>
          <w:kern w:val="0"/>
          <w:sz w:val="30"/>
          <w:szCs w:val="30"/>
        </w:rPr>
        <w:t>万元（本级财力</w:t>
      </w:r>
      <w:r>
        <w:rPr>
          <w:rFonts w:hint="eastAsia" w:eastAsia="仿宋_GB2312"/>
          <w:kern w:val="0"/>
          <w:sz w:val="30"/>
          <w:szCs w:val="30"/>
          <w:lang w:val="en-US" w:eastAsia="zh-CN"/>
        </w:rPr>
        <w:t>2173.23</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2173.23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2173.23</w:t>
      </w:r>
      <w:r>
        <w:rPr>
          <w:rFonts w:eastAsia="仿宋_GB2312"/>
          <w:kern w:val="0"/>
          <w:sz w:val="30"/>
          <w:szCs w:val="30"/>
        </w:rPr>
        <w:t>万元，其中，基本支出</w:t>
      </w:r>
      <w:r>
        <w:rPr>
          <w:rFonts w:hint="eastAsia" w:eastAsia="仿宋_GB2312"/>
          <w:kern w:val="0"/>
          <w:sz w:val="30"/>
          <w:szCs w:val="30"/>
          <w:lang w:val="en-US" w:eastAsia="zh-CN"/>
        </w:rPr>
        <w:t>1999.05</w:t>
      </w:r>
      <w:r>
        <w:rPr>
          <w:rFonts w:eastAsia="仿宋_GB2312"/>
          <w:kern w:val="0"/>
          <w:sz w:val="30"/>
          <w:szCs w:val="30"/>
        </w:rPr>
        <w:t>万元，项目支出</w:t>
      </w:r>
      <w:r>
        <w:rPr>
          <w:rFonts w:hint="eastAsia" w:eastAsia="仿宋_GB2312"/>
          <w:kern w:val="0"/>
          <w:sz w:val="30"/>
          <w:szCs w:val="30"/>
          <w:lang w:val="en-US" w:eastAsia="zh-CN"/>
        </w:rPr>
        <w:t>174.18</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2050201学前教育功能科目134.09元主要用于发放人员工资及日常办公经费；2050202小学教育功能科目1441.74元主要用于发放人员工资及日常办公经费；2080502事业单位离退休301万元主要用于发放退休人员工资；2080505机关事业单位基本养老保险缴费支出172.34万元用于发放退休人员养老保险；2080506机关事业单位职业年金缴费支出1.84用于发放退休人员职业年金；2080801死亡抚恤支出0.36万元用于发放遗属补助生活补助；2210201住房公积金121.86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1999.05</w:t>
      </w:r>
      <w:r>
        <w:rPr>
          <w:rFonts w:eastAsia="仿宋_GB2312"/>
          <w:kern w:val="0"/>
          <w:sz w:val="30"/>
          <w:szCs w:val="30"/>
        </w:rPr>
        <w:t>万元，项目支出</w:t>
      </w:r>
      <w:r>
        <w:rPr>
          <w:rFonts w:hint="eastAsia" w:eastAsia="仿宋_GB2312"/>
          <w:kern w:val="0"/>
          <w:sz w:val="30"/>
          <w:szCs w:val="30"/>
          <w:lang w:val="en-US" w:eastAsia="zh-CN"/>
        </w:rPr>
        <w:t>174.18</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val="en-US" w:eastAsia="zh-CN"/>
        </w:rPr>
        <w:t>0</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陇川县城子镇中心学校</w:t>
      </w:r>
      <w:r>
        <w:rPr>
          <w:rFonts w:hint="eastAsia" w:ascii="仿宋_GB2312" w:eastAsia="仿宋_GB2312"/>
          <w:sz w:val="30"/>
          <w:szCs w:val="30"/>
        </w:rPr>
        <w:t>财务总收入</w:t>
      </w:r>
      <w:r>
        <w:rPr>
          <w:rFonts w:hint="eastAsia" w:ascii="仿宋_GB2312" w:eastAsia="仿宋_GB2312"/>
          <w:sz w:val="30"/>
          <w:szCs w:val="30"/>
          <w:lang w:val="en-US" w:eastAsia="zh-CN"/>
        </w:rPr>
        <w:t>2173.23</w:t>
      </w:r>
      <w:r>
        <w:rPr>
          <w:rFonts w:hint="eastAsia" w:ascii="仿宋_GB2312" w:eastAsia="仿宋_GB2312"/>
          <w:sz w:val="30"/>
          <w:szCs w:val="30"/>
        </w:rPr>
        <w:t>万元，其中：一般公共预算</w:t>
      </w:r>
      <w:r>
        <w:rPr>
          <w:rFonts w:hint="eastAsia" w:ascii="仿宋_GB2312" w:eastAsia="仿宋_GB2312"/>
          <w:sz w:val="30"/>
          <w:szCs w:val="30"/>
          <w:lang w:val="en-US" w:eastAsia="zh-CN"/>
        </w:rPr>
        <w:t>2173.23</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2215.19</w:t>
      </w:r>
      <w:r>
        <w:rPr>
          <w:rFonts w:hint="eastAsia" w:ascii="仿宋_GB2312" w:eastAsia="仿宋_GB2312"/>
          <w:sz w:val="30"/>
          <w:szCs w:val="30"/>
        </w:rPr>
        <w:t>万元，其中，本年收入</w:t>
      </w:r>
      <w:r>
        <w:rPr>
          <w:rFonts w:hint="eastAsia" w:ascii="仿宋_GB2312" w:eastAsia="仿宋_GB2312"/>
          <w:sz w:val="30"/>
          <w:szCs w:val="30"/>
          <w:lang w:val="en-US" w:eastAsia="zh-CN"/>
        </w:rPr>
        <w:t>2173.23</w:t>
      </w:r>
      <w:r>
        <w:rPr>
          <w:rFonts w:hint="eastAsia" w:ascii="仿宋_GB2312" w:eastAsia="仿宋_GB2312"/>
          <w:sz w:val="30"/>
          <w:szCs w:val="30"/>
        </w:rPr>
        <w:t>万元，上年结转收入</w:t>
      </w:r>
      <w:r>
        <w:rPr>
          <w:rFonts w:hint="eastAsia" w:ascii="仿宋_GB2312" w:eastAsia="仿宋_GB2312"/>
          <w:sz w:val="30"/>
          <w:szCs w:val="30"/>
          <w:lang w:val="en-US" w:eastAsia="zh-CN"/>
        </w:rPr>
        <w:t>41.96</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2173.23</w:t>
      </w:r>
      <w:r>
        <w:rPr>
          <w:rFonts w:hint="eastAsia" w:ascii="仿宋_GB2312" w:eastAsia="仿宋_GB2312"/>
          <w:sz w:val="30"/>
          <w:szCs w:val="30"/>
        </w:rPr>
        <w:t>万元（本级财力</w:t>
      </w:r>
      <w:r>
        <w:rPr>
          <w:rFonts w:hint="eastAsia" w:ascii="仿宋_GB2312" w:eastAsia="仿宋_GB2312"/>
          <w:sz w:val="30"/>
          <w:szCs w:val="30"/>
          <w:lang w:val="en-US" w:eastAsia="zh-CN"/>
        </w:rPr>
        <w:t>2173.23</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1650.18</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82.55</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2.64</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14.81%。</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1762.49元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13.42%</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174.18</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2018年城子镇中心学校部门预算无机关运行经费安排。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70216D8"/>
    <w:rsid w:val="09093F5A"/>
    <w:rsid w:val="0BC56F3D"/>
    <w:rsid w:val="158A1FA0"/>
    <w:rsid w:val="18937223"/>
    <w:rsid w:val="192C5EC5"/>
    <w:rsid w:val="1AAE6619"/>
    <w:rsid w:val="1B3D357E"/>
    <w:rsid w:val="215E6B7D"/>
    <w:rsid w:val="29FD0D16"/>
    <w:rsid w:val="2A4D1833"/>
    <w:rsid w:val="2C2B5CCC"/>
    <w:rsid w:val="2C3565DB"/>
    <w:rsid w:val="32935786"/>
    <w:rsid w:val="402F794F"/>
    <w:rsid w:val="4A282DC1"/>
    <w:rsid w:val="4DFD57D2"/>
    <w:rsid w:val="5675562D"/>
    <w:rsid w:val="5AF55EBD"/>
    <w:rsid w:val="5EE757DD"/>
    <w:rsid w:val="64856C82"/>
    <w:rsid w:val="6778048E"/>
    <w:rsid w:val="68C65853"/>
    <w:rsid w:val="6F570E6C"/>
    <w:rsid w:val="71106C44"/>
    <w:rsid w:val="7117675C"/>
    <w:rsid w:val="759E0AC4"/>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2018-02-12T01:43:05Z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