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notes.xml" ContentType="application/vnd.openxmlformats-officedocument.wordprocessingml.footnotes+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w:body>
    <w:p>
      <w:pPr>
        <w:keepNext w:val="false"/>
        <w:keepLines w:val="false"/>
        <w:pageBreakBefore w:val="false"/>
        <w:widowControl w:val="false"/>
        <w:pBdr/>
        <w:spacing w:line="600" w:lineRule="exact"/>
        <w:ind/>
        <w:jc w:val="center"/>
        <w:rPr>
          <w:rFonts w:hint="eastAsia" w:ascii="宋体" w:hAnsi="宋体" w:eastAsia="宋体" w:cs="宋体"/>
          <w:sz w:val="24"/>
          <w:szCs w:val="24"/>
        </w:rPr>
      </w:pPr>
      <w:r>
        <w:rPr>
          <w:rFonts w:hint="eastAsia" w:ascii="宋体" w:hAnsi="宋体" w:eastAsia="宋体" w:cs="宋体"/>
          <w:sz w:val="24"/>
          <w:szCs w:val="24"/>
        </w:rPr>
        <w:t xml:space="preserve">人力资源社会保障部办公厅 财政部办公厅 国家税务总局办公厅 国家医保局</w:t>
      </w:r>
      <w:r>
        <w:rPr>
          <w:rFonts w:hint="eastAsia" w:ascii="宋体" w:hAnsi="宋体" w:eastAsia="宋体" w:cs="宋体"/>
          <w:sz w:val="24"/>
          <w:szCs w:val="24"/>
        </w:rPr>
      </w:r>
    </w:p>
    <w:p>
      <w:pPr>
        <w:keepNext w:val="false"/>
        <w:keepLines w:val="false"/>
        <w:pageBreakBefore w:val="false"/>
        <w:widowControl w:val="false"/>
        <w:pBdr/>
        <w:spacing w:line="600" w:lineRule="exact"/>
        <w:ind/>
        <w:jc w:val="center"/>
        <w:rPr>
          <w:rFonts w:hint="eastAsia" w:ascii="宋体" w:hAnsi="宋体" w:eastAsia="宋体" w:cs="宋体"/>
          <w:sz w:val="24"/>
          <w:szCs w:val="24"/>
        </w:rPr>
      </w:pPr>
      <w:r>
        <w:rPr>
          <w:rFonts w:hint="eastAsia" w:ascii="宋体" w:hAnsi="宋体" w:eastAsia="宋体" w:cs="宋体"/>
          <w:sz w:val="24"/>
          <w:szCs w:val="24"/>
        </w:rPr>
        <w:t xml:space="preserve">办公室关于进一步提升失业保险经办服务质效的通知</w:t>
      </w:r>
      <w:r>
        <w:rPr>
          <w:rFonts w:hint="eastAsia" w:ascii="宋体" w:hAnsi="宋体" w:eastAsia="宋体" w:cs="宋体"/>
          <w:sz w:val="24"/>
          <w:szCs w:val="24"/>
        </w:rPr>
      </w:r>
    </w:p>
    <w:p>
      <w:pPr>
        <w:keepNext w:val="false"/>
        <w:keepLines w:val="false"/>
        <w:pageBreakBefore w:val="false"/>
        <w:widowControl w:val="false"/>
        <w:pBdr/>
        <w:spacing w:line="400" w:lineRule="exact"/>
        <w:ind/>
        <w:jc w:val="center"/>
        <w:rPr>
          <w:rFonts w:hint="eastAsia" w:ascii="宋体" w:hAnsi="宋体" w:eastAsia="宋体" w:cs="宋体"/>
          <w:sz w:val="24"/>
          <w:szCs w:val="24"/>
        </w:rPr>
      </w:pPr>
      <w:r>
        <w:rPr>
          <w:rFonts w:hint="eastAsia" w:ascii="宋体" w:hAnsi="宋体" w:eastAsia="宋体" w:cs="宋体"/>
          <w:sz w:val="24"/>
          <w:szCs w:val="24"/>
        </w:rPr>
      </w:r>
      <w:r>
        <w:rPr>
          <w:rFonts w:hint="eastAsia" w:ascii="宋体" w:hAnsi="宋体" w:eastAsia="宋体" w:cs="宋体"/>
          <w:sz w:val="24"/>
          <w:szCs w:val="24"/>
        </w:rPr>
      </w:r>
    </w:p>
    <w:p>
      <w:pPr>
        <w:keepNext w:val="false"/>
        <w:keepLines w:val="false"/>
        <w:pageBreakBefore w:val="false"/>
        <w:widowControl w:val="false"/>
        <w:pBdr/>
        <w:spacing w:line="600" w:lineRule="exact"/>
        <w:ind/>
        <w:jc w:val="center"/>
        <w:rPr>
          <w:rFonts w:hint="eastAsia" w:ascii="宋体" w:hAnsi="宋体" w:eastAsia="宋体" w:cs="宋体"/>
          <w:sz w:val="24"/>
          <w:szCs w:val="24"/>
        </w:rPr>
      </w:pPr>
      <w:r>
        <w:rPr>
          <w:rFonts w:hint="eastAsia" w:ascii="宋体" w:hAnsi="宋体" w:eastAsia="宋体" w:cs="宋体"/>
          <w:sz w:val="24"/>
          <w:szCs w:val="24"/>
        </w:rPr>
        <w:t xml:space="preserve">人社厅发〔2024〕60号</w:t>
      </w:r>
      <w:r>
        <w:rPr>
          <w:rFonts w:hint="eastAsia" w:ascii="宋体" w:hAnsi="宋体" w:eastAsia="宋体" w:cs="宋体"/>
          <w:sz w:val="24"/>
          <w:szCs w:val="24"/>
        </w:rPr>
      </w:r>
    </w:p>
    <w:p>
      <w:pPr>
        <w:keepNext w:val="false"/>
        <w:keepLines w:val="false"/>
        <w:pageBreakBefore w:val="false"/>
        <w:widowControl w:val="false"/>
        <w:pBdr/>
        <w:spacing w:line="600" w:lineRule="exact"/>
        <w:ind/>
        <w:jc w:val="both"/>
        <w:rPr>
          <w:rFonts w:hint="eastAsia" w:ascii="宋体" w:hAnsi="宋体" w:eastAsia="宋体" w:cs="宋体"/>
          <w:sz w:val="24"/>
          <w:szCs w:val="24"/>
        </w:rPr>
      </w:pPr>
      <w:r>
        <w:rPr>
          <w:rFonts w:hint="eastAsia" w:ascii="宋体" w:hAnsi="宋体" w:eastAsia="宋体" w:cs="宋体"/>
          <w:sz w:val="24"/>
          <w:szCs w:val="24"/>
        </w:rPr>
        <w:t xml:space="preserve">各省、自治区、直辖市及新疆生产建设兵团人力资源社会保障厅（局）、财政厅（局）、医保局，国家税务总局各省、自治区、直辖市和计划单列市税务局：</w:t>
      </w:r>
      <w:r>
        <w:rPr>
          <w:rFonts w:hint="eastAsia" w:ascii="宋体" w:hAnsi="宋体" w:eastAsia="宋体" w:cs="宋体"/>
          <w:sz w:val="24"/>
          <w:szCs w:val="24"/>
        </w:rPr>
      </w:r>
    </w:p>
    <w:p>
      <w:pPr>
        <w:keepNext w:val="false"/>
        <w:keepLines w:val="false"/>
        <w:pageBreakBefore w:val="false"/>
        <w:widowControl w:val="false"/>
        <w:pBdr/>
        <w:spacing w:line="600" w:lineRule="exact"/>
        <w:ind w:firstLine="480"/>
        <w:jc w:val="both"/>
        <w:rPr>
          <w:rFonts w:hint="eastAsia" w:ascii="宋体" w:hAnsi="宋体" w:eastAsia="宋体" w:cs="宋体"/>
          <w:sz w:val="24"/>
          <w:szCs w:val="24"/>
        </w:rPr>
      </w:pPr>
      <w:r>
        <w:rPr>
          <w:rFonts w:hint="eastAsia" w:ascii="宋体" w:hAnsi="宋体" w:eastAsia="宋体" w:cs="宋体"/>
          <w:sz w:val="24"/>
          <w:szCs w:val="24"/>
        </w:rPr>
        <w:t xml:space="preserve">为切实保障失业人员基本生活，进一步畅通失业保险待遇申领渠道，防范基金风险，根据《社会保险经办条例》，现就有关事项通知如下：</w:t>
      </w:r>
      <w:r>
        <w:rPr>
          <w:rFonts w:hint="eastAsia" w:ascii="宋体" w:hAnsi="宋体" w:eastAsia="宋体" w:cs="宋体"/>
          <w:sz w:val="24"/>
          <w:szCs w:val="24"/>
        </w:rPr>
      </w:r>
    </w:p>
    <w:p>
      <w:pPr>
        <w:keepNext w:val="false"/>
        <w:keepLines w:val="false"/>
        <w:pageBreakBefore w:val="false"/>
        <w:widowControl w:val="false"/>
        <w:pBdr/>
        <w:spacing w:line="600" w:lineRule="exact"/>
        <w:ind w:firstLine="482"/>
        <w:jc w:val="both"/>
        <w:rPr>
          <w:rFonts w:hint="eastAsia" w:ascii="宋体" w:hAnsi="宋体" w:eastAsia="宋体" w:cs="宋体"/>
          <w:sz w:val="24"/>
          <w:szCs w:val="24"/>
        </w:rPr>
      </w:pPr>
      <w:r>
        <w:rPr>
          <w:rFonts w:hint="eastAsia" w:ascii="宋体" w:hAnsi="宋体" w:eastAsia="宋体" w:cs="宋体"/>
          <w:b/>
          <w:bCs/>
          <w:sz w:val="24"/>
          <w:szCs w:val="24"/>
        </w:rPr>
        <w:t xml:space="preserve">一、提高审核效率。</w:t>
      </w:r>
      <w:r>
        <w:rPr>
          <w:rFonts w:hint="eastAsia" w:ascii="宋体" w:hAnsi="宋体" w:eastAsia="宋体" w:cs="宋体"/>
          <w:sz w:val="24"/>
          <w:szCs w:val="24"/>
        </w:rPr>
        <w:t xml:space="preserve">失业保险经办机构（以下简称经办机构）应持续推进失业保险金申请“提速办”，自收到申请之日起10个工作日内需审核完毕，审核不通过的要及时准确向失业人员说明原因及处置方式。失业人员再次申请的，经办机构应当重新审核，符合条件的发放失业保险金。</w:t>
      </w:r>
      <w:r>
        <w:rPr>
          <w:rFonts w:hint="eastAsia" w:ascii="宋体" w:hAnsi="宋体" w:eastAsia="宋体" w:cs="宋体"/>
          <w:sz w:val="24"/>
          <w:szCs w:val="24"/>
        </w:rPr>
      </w:r>
    </w:p>
    <w:p>
      <w:pPr>
        <w:keepNext w:val="false"/>
        <w:keepLines w:val="false"/>
        <w:pageBreakBefore w:val="false"/>
        <w:widowControl w:val="false"/>
        <w:pBdr/>
        <w:spacing w:line="600" w:lineRule="exact"/>
        <w:ind w:firstLine="482"/>
        <w:jc w:val="both"/>
        <w:rPr>
          <w:rFonts w:hint="eastAsia" w:ascii="宋体" w:hAnsi="宋体" w:eastAsia="宋体" w:cs="宋体"/>
          <w:sz w:val="24"/>
          <w:szCs w:val="24"/>
        </w:rPr>
      </w:pPr>
      <w:r>
        <w:rPr>
          <w:rFonts w:hint="eastAsia" w:ascii="宋体" w:hAnsi="宋体" w:eastAsia="宋体" w:cs="宋体"/>
          <w:b/>
          <w:bCs/>
          <w:sz w:val="24"/>
          <w:szCs w:val="24"/>
        </w:rPr>
        <w:t xml:space="preserve">二、优化工作流程。</w:t>
      </w:r>
      <w:r>
        <w:rPr>
          <w:rFonts w:hint="eastAsia" w:ascii="宋体" w:hAnsi="宋体" w:eastAsia="宋体" w:cs="宋体"/>
          <w:sz w:val="24"/>
          <w:szCs w:val="24"/>
        </w:rPr>
        <w:t xml:space="preserve">各地要积极推进失业保险金申请与失业登记集成办理。经办机构受理失业保险金申请后，将符合领取失业保险金其他法定条件但尚未办理失业登记的人员信息推送至公共就业服务机构，完成失业登记的及时发放失业保险金。</w:t>
      </w:r>
      <w:r>
        <w:rPr>
          <w:rFonts w:hint="eastAsia" w:ascii="宋体" w:hAnsi="宋体" w:eastAsia="宋体" w:cs="宋体"/>
          <w:sz w:val="24"/>
          <w:szCs w:val="24"/>
        </w:rPr>
      </w:r>
    </w:p>
    <w:p>
      <w:pPr>
        <w:keepNext w:val="false"/>
        <w:keepLines w:val="false"/>
        <w:pageBreakBefore w:val="false"/>
        <w:widowControl w:val="false"/>
        <w:pBdr/>
        <w:spacing w:line="600" w:lineRule="exact"/>
        <w:ind w:firstLine="480"/>
        <w:jc w:val="both"/>
        <w:rPr>
          <w:rFonts w:hint="eastAsia" w:ascii="宋体" w:hAnsi="宋体" w:eastAsia="宋体" w:cs="宋体"/>
          <w:sz w:val="24"/>
          <w:szCs w:val="24"/>
        </w:rPr>
      </w:pPr>
      <w:r>
        <w:rPr>
          <w:rFonts w:hint="eastAsia" w:ascii="宋体" w:hAnsi="宋体" w:eastAsia="宋体" w:cs="宋体"/>
          <w:sz w:val="24"/>
          <w:szCs w:val="24"/>
        </w:rPr>
        <w:t xml:space="preserve">公共就业服务机构收到经办机构推送的人员信息后，要在规定时限内尽快为其办理失业登记，并及时向经办机构反馈结果。</w:t>
      </w:r>
      <w:r>
        <w:rPr>
          <w:rFonts w:hint="eastAsia" w:ascii="宋体" w:hAnsi="宋体" w:eastAsia="宋体" w:cs="宋体"/>
          <w:sz w:val="24"/>
          <w:szCs w:val="24"/>
        </w:rPr>
      </w:r>
    </w:p>
    <w:p>
      <w:pPr>
        <w:keepNext w:val="false"/>
        <w:keepLines w:val="false"/>
        <w:pageBreakBefore w:val="false"/>
        <w:widowControl w:val="false"/>
        <w:pBdr/>
        <w:spacing w:line="600" w:lineRule="exact"/>
        <w:ind w:firstLine="482"/>
        <w:jc w:val="both"/>
        <w:rPr>
          <w:rFonts w:hint="eastAsia" w:ascii="宋体" w:hAnsi="宋体" w:eastAsia="宋体" w:cs="宋体"/>
          <w:sz w:val="24"/>
          <w:szCs w:val="24"/>
        </w:rPr>
      </w:pPr>
      <w:r>
        <w:rPr>
          <w:rFonts w:hint="eastAsia" w:ascii="宋体" w:hAnsi="宋体" w:eastAsia="宋体" w:cs="宋体"/>
          <w:b/>
          <w:bCs/>
          <w:sz w:val="24"/>
          <w:szCs w:val="24"/>
        </w:rPr>
        <w:t xml:space="preserve">三、强化生活保障。</w:t>
      </w:r>
      <w:r>
        <w:rPr>
          <w:rFonts w:hint="eastAsia" w:ascii="宋体" w:hAnsi="宋体" w:eastAsia="宋体" w:cs="宋体"/>
          <w:sz w:val="24"/>
          <w:szCs w:val="24"/>
        </w:rPr>
        <w:t xml:space="preserve">各地要加强大龄失业人员保障，做好过渡人员政策衔接。对2024年12月31日正在领取失业保险金（含续发）人员，领金期满（核定续发）时距延迟法定退休年龄改革（以下简称改革）实施后的法定退休年龄超过1年，但距改革实施前法定退休年龄不足1年的，经本人申请，可继续发放失业保险金至改革实施前法定退休年龄，待遇期满后不再次续发。</w:t>
      </w:r>
      <w:r>
        <w:rPr>
          <w:rFonts w:hint="eastAsia" w:ascii="宋体" w:hAnsi="宋体" w:eastAsia="宋体" w:cs="宋体"/>
          <w:sz w:val="24"/>
          <w:szCs w:val="24"/>
        </w:rPr>
      </w:r>
    </w:p>
    <w:p>
      <w:pPr>
        <w:keepNext w:val="false"/>
        <w:keepLines w:val="false"/>
        <w:pageBreakBefore w:val="false"/>
        <w:widowControl w:val="false"/>
        <w:pBdr/>
        <w:spacing w:line="600" w:lineRule="exact"/>
        <w:ind w:firstLine="482"/>
        <w:jc w:val="both"/>
        <w:rPr>
          <w:rFonts w:hint="eastAsia" w:ascii="宋体" w:hAnsi="宋体" w:eastAsia="宋体" w:cs="宋体"/>
          <w:sz w:val="24"/>
          <w:szCs w:val="24"/>
        </w:rPr>
      </w:pPr>
      <w:r>
        <w:rPr>
          <w:rFonts w:hint="eastAsia" w:ascii="宋体" w:hAnsi="宋体" w:eastAsia="宋体" w:cs="宋体"/>
          <w:b/>
          <w:bCs/>
          <w:sz w:val="24"/>
          <w:szCs w:val="24"/>
        </w:rPr>
        <w:t xml:space="preserve">四、明确代缴方式。</w:t>
      </w:r>
      <w:r>
        <w:rPr>
          <w:rFonts w:hint="eastAsia" w:ascii="宋体" w:hAnsi="宋体" w:eastAsia="宋体" w:cs="宋体"/>
          <w:sz w:val="24"/>
          <w:szCs w:val="24"/>
        </w:rPr>
        <w:t xml:space="preserve">经办机构应按规定为领取失业保险金人员统一办理职工医疗保险（含生育保险）参保缴费手续。对已经以灵活就业人员身份参加职工医疗保险等原因导致无法统一办理的，经办机构应及时告知原因，并经本人申请，向其支付领金期间未成功代缴但本人已实际缴纳的职工医疗保险费，支付金额不得高于当地代缴标准；个人实际缴纳费用低于当地代缴标准的，按实际支付。省级人力资源社会保障部门要会同税务、医保部门结合本地实际明确具体经办流程。</w:t>
      </w:r>
      <w:r>
        <w:rPr>
          <w:rFonts w:hint="eastAsia" w:ascii="宋体" w:hAnsi="宋体" w:eastAsia="宋体" w:cs="宋体"/>
          <w:sz w:val="24"/>
          <w:szCs w:val="24"/>
        </w:rPr>
      </w:r>
    </w:p>
    <w:p>
      <w:pPr>
        <w:keepNext w:val="false"/>
        <w:keepLines w:val="false"/>
        <w:pageBreakBefore w:val="false"/>
        <w:widowControl w:val="false"/>
        <w:pBdr/>
        <w:spacing w:line="600" w:lineRule="exact"/>
        <w:ind w:firstLine="482"/>
        <w:jc w:val="both"/>
        <w:rPr>
          <w:rFonts w:hint="eastAsia" w:ascii="宋体" w:hAnsi="宋体" w:eastAsia="宋体" w:cs="宋体"/>
          <w:sz w:val="24"/>
          <w:szCs w:val="24"/>
        </w:rPr>
      </w:pPr>
      <w:r>
        <w:rPr>
          <w:rFonts w:hint="eastAsia" w:ascii="宋体" w:hAnsi="宋体" w:eastAsia="宋体" w:cs="宋体"/>
          <w:b/>
          <w:bCs/>
          <w:sz w:val="24"/>
          <w:szCs w:val="24"/>
        </w:rPr>
        <w:t xml:space="preserve">五、妥善处理争议。</w:t>
      </w:r>
      <w:r>
        <w:rPr>
          <w:rFonts w:hint="eastAsia" w:ascii="宋体" w:hAnsi="宋体" w:eastAsia="宋体" w:cs="宋体"/>
          <w:sz w:val="24"/>
          <w:szCs w:val="24"/>
        </w:rPr>
        <w:t xml:space="preserve">失业人员因用人单位认定停保原因为本人意愿主动离职而无法申领失业保险金的，如其本人提出申请并能证明非因本人意愿中断就业，经办机构应据实重新核实认定，符合条件的发放失业保险金。</w:t>
      </w:r>
      <w:r>
        <w:rPr>
          <w:rFonts w:hint="eastAsia" w:ascii="宋体" w:hAnsi="宋体" w:eastAsia="宋体" w:cs="宋体"/>
          <w:sz w:val="24"/>
          <w:szCs w:val="24"/>
        </w:rPr>
      </w:r>
    </w:p>
    <w:p>
      <w:pPr>
        <w:keepNext w:val="false"/>
        <w:keepLines w:val="false"/>
        <w:pageBreakBefore w:val="false"/>
        <w:widowControl w:val="false"/>
        <w:pBdr/>
        <w:spacing w:line="600" w:lineRule="exact"/>
        <w:ind w:firstLine="482"/>
        <w:jc w:val="both"/>
        <w:rPr>
          <w:rFonts w:hint="eastAsia" w:ascii="宋体" w:hAnsi="宋体" w:eastAsia="宋体" w:cs="宋体"/>
          <w:sz w:val="24"/>
          <w:szCs w:val="24"/>
        </w:rPr>
      </w:pPr>
      <w:r>
        <w:rPr>
          <w:rFonts w:hint="eastAsia" w:ascii="宋体" w:hAnsi="宋体" w:eastAsia="宋体" w:cs="宋体"/>
          <w:b/>
          <w:bCs/>
          <w:sz w:val="24"/>
          <w:szCs w:val="24"/>
        </w:rPr>
        <w:t xml:space="preserve">六、加强证书审核。</w:t>
      </w:r>
      <w:r>
        <w:rPr>
          <w:rFonts w:hint="eastAsia" w:ascii="宋体" w:hAnsi="宋体" w:eastAsia="宋体" w:cs="宋体"/>
          <w:sz w:val="24"/>
          <w:szCs w:val="24"/>
        </w:rPr>
        <w:t xml:space="preserve">参保企业职工或领取失业保险金人员持证申请失业保险技能提升补贴的，经办机构要通过职业资格证书或职业技能等级证书联网查询方式进行审核，要确保证岗相适，相关证书应在技能人才评价工作网可查询。经办机构要通过信息化手段，对技能提升补贴发放情况进行分析，发现补贴发放金额快速上升等异常情况及时预警。发现同一职业技能评价机构短期内集中发放证书、参保地或领金地以外所获证书领取技能提升补贴等疑似违规情形的，应及时联系职业技能鉴定部门重点核查并配合做好相关工作。</w:t>
      </w:r>
      <w:r>
        <w:rPr>
          <w:rFonts w:hint="eastAsia" w:ascii="宋体" w:hAnsi="宋体" w:eastAsia="宋体" w:cs="宋体"/>
          <w:sz w:val="24"/>
          <w:szCs w:val="24"/>
        </w:rPr>
      </w:r>
    </w:p>
    <w:p>
      <w:pPr>
        <w:keepNext w:val="false"/>
        <w:keepLines w:val="false"/>
        <w:pageBreakBefore w:val="false"/>
        <w:widowControl w:val="false"/>
        <w:pBdr/>
        <w:spacing w:line="600" w:lineRule="exact"/>
        <w:ind w:firstLine="482"/>
        <w:jc w:val="both"/>
        <w:rPr>
          <w:rFonts w:hint="eastAsia" w:ascii="宋体" w:hAnsi="宋体" w:eastAsia="宋体" w:cs="宋体"/>
          <w:sz w:val="24"/>
          <w:szCs w:val="24"/>
        </w:rPr>
      </w:pPr>
      <w:r>
        <w:rPr>
          <w:rFonts w:hint="eastAsia" w:ascii="宋体" w:hAnsi="宋体" w:eastAsia="宋体" w:cs="宋体"/>
          <w:b/>
          <w:bCs/>
          <w:sz w:val="24"/>
          <w:szCs w:val="24"/>
        </w:rPr>
        <w:t xml:space="preserve">七、加强风险防控。</w:t>
      </w:r>
      <w:r>
        <w:rPr>
          <w:rFonts w:hint="eastAsia" w:ascii="宋体" w:hAnsi="宋体" w:eastAsia="宋体" w:cs="宋体"/>
          <w:sz w:val="24"/>
          <w:szCs w:val="24"/>
        </w:rPr>
        <w:t xml:space="preserve">各地要持续做好基金风险防控工作，严肃查处骗取套取、虚报冒领、重复领取失业保险待遇等违法违规行为，对同一用人单位职工集中离职申领失业保险金、领取失业保险金人数占用人单位参保总人数比例过高、连续缴费不足3个月申领失业保险金、跨省重复领取失业保险金等情形，及时设置风控规则并嵌入系统，触发高危风险时及时提醒并开展核查。不法中介机构招揽失业人员短期参保骗领失业保险金的，由人力资源社会保障行政部门责令退回并处罚款，涉嫌欺诈犯罪的依法向公安机关移送。</w:t>
      </w:r>
      <w:r>
        <w:rPr>
          <w:rFonts w:hint="eastAsia" w:ascii="宋体" w:hAnsi="宋体" w:eastAsia="宋体" w:cs="宋体"/>
          <w:sz w:val="24"/>
          <w:szCs w:val="24"/>
        </w:rPr>
      </w:r>
    </w:p>
    <w:p>
      <w:pPr>
        <w:keepNext w:val="false"/>
        <w:keepLines w:val="false"/>
        <w:pageBreakBefore w:val="false"/>
        <w:widowControl w:val="false"/>
        <w:pBdr/>
        <w:spacing w:line="600" w:lineRule="exact"/>
        <w:ind w:firstLine="482"/>
        <w:jc w:val="both"/>
        <w:rPr>
          <w:rFonts w:hint="eastAsia" w:ascii="宋体" w:hAnsi="宋体" w:eastAsia="宋体" w:cs="宋体"/>
          <w:sz w:val="24"/>
          <w:szCs w:val="24"/>
        </w:rPr>
      </w:pPr>
      <w:r>
        <w:rPr>
          <w:rFonts w:hint="eastAsia" w:ascii="宋体" w:hAnsi="宋体" w:eastAsia="宋体" w:cs="宋体"/>
          <w:b/>
          <w:bCs/>
          <w:sz w:val="24"/>
          <w:szCs w:val="24"/>
        </w:rPr>
        <w:t xml:space="preserve">八、畅通申诉渠道。</w:t>
      </w:r>
      <w:r>
        <w:rPr>
          <w:rFonts w:hint="eastAsia" w:ascii="宋体" w:hAnsi="宋体" w:eastAsia="宋体" w:cs="宋体"/>
          <w:sz w:val="24"/>
          <w:szCs w:val="24"/>
        </w:rPr>
        <w:t xml:space="preserve">各级经办机构要依托综合窗口、岗位或12333人社咨询热线，高效受理失业保险金申请服务咨询、投诉、建议和在线办理指导等诉求，建立“接诉即办”机制，及时了解问题建议并妥善处置。鼓励各地结合实际设置失业保险业务“办不成事”反映窗口或岗位，持续提升服务效能。</w:t>
      </w:r>
      <w:r>
        <w:rPr>
          <w:rFonts w:hint="eastAsia" w:ascii="宋体" w:hAnsi="宋体" w:eastAsia="宋体" w:cs="宋体"/>
          <w:sz w:val="24"/>
          <w:szCs w:val="24"/>
        </w:rPr>
      </w:r>
    </w:p>
    <w:p>
      <w:pPr>
        <w:keepNext w:val="false"/>
        <w:keepLines w:val="false"/>
        <w:pageBreakBefore w:val="false"/>
        <w:widowControl w:val="false"/>
        <w:pBdr/>
        <w:spacing w:line="600" w:lineRule="exact"/>
        <w:ind w:firstLine="480"/>
        <w:jc w:val="both"/>
        <w:rPr>
          <w:rFonts w:hint="eastAsia" w:ascii="宋体" w:hAnsi="宋体" w:eastAsia="宋体" w:cs="宋体"/>
          <w:sz w:val="24"/>
          <w:szCs w:val="24"/>
        </w:rPr>
      </w:pPr>
      <w:r>
        <w:rPr>
          <w:rFonts w:hint="eastAsia" w:ascii="宋体" w:hAnsi="宋体" w:eastAsia="宋体" w:cs="宋体"/>
          <w:sz w:val="24"/>
          <w:szCs w:val="24"/>
        </w:rPr>
        <w:t xml:space="preserve">各地要大力开展失业保险待遇“畅通领、安全办”行动，加强政策宣传解读，优化经办流程，强化部门联动，健全风险防控机制，推动待遇直达快享，切实提高参保职工和失业人员获得感和满意度</w:t>
      </w:r>
      <w:bookmarkStart w:id="0" w:name="_GoBack"/>
      <w:r/>
      <w:bookmarkEnd w:id="0"/>
      <w:r>
        <w:rPr>
          <w:rFonts w:hint="eastAsia" w:ascii="宋体" w:hAnsi="宋体" w:eastAsia="宋体" w:cs="宋体"/>
          <w:sz w:val="24"/>
          <w:szCs w:val="24"/>
        </w:rPr>
        <w:t xml:space="preserve">。</w:t>
      </w:r>
      <w:r>
        <w:rPr>
          <w:rFonts w:hint="eastAsia" w:ascii="宋体" w:hAnsi="宋体" w:eastAsia="宋体" w:cs="宋体"/>
          <w:sz w:val="24"/>
          <w:szCs w:val="24"/>
        </w:rPr>
      </w:r>
    </w:p>
    <w:p>
      <w:pPr>
        <w:keepNext w:val="false"/>
        <w:keepLines w:val="false"/>
        <w:pageBreakBefore w:val="false"/>
        <w:widowControl w:val="false"/>
        <w:pBdr/>
        <w:spacing w:line="600" w:lineRule="exact"/>
        <w:ind/>
        <w:jc w:val="right"/>
        <w:rPr>
          <w:rFonts w:hint="eastAsia" w:ascii="宋体" w:hAnsi="宋体" w:eastAsia="宋体" w:cs="宋体"/>
          <w:sz w:val="24"/>
          <w:szCs w:val="24"/>
        </w:rPr>
      </w:pPr>
      <w:r>
        <w:rPr>
          <w:rFonts w:hint="eastAsia" w:ascii="宋体" w:hAnsi="宋体" w:eastAsia="宋体" w:cs="宋体"/>
          <w:sz w:val="24"/>
          <w:szCs w:val="24"/>
        </w:rPr>
        <w:t xml:space="preserve">　　人力资源社会保障部办公厅</w:t>
      </w:r>
      <w:r>
        <w:rPr>
          <w:rFonts w:hint="eastAsia" w:ascii="宋体" w:hAnsi="宋体" w:eastAsia="宋体" w:cs="宋体"/>
          <w:sz w:val="24"/>
          <w:szCs w:val="24"/>
        </w:rPr>
      </w:r>
    </w:p>
    <w:p>
      <w:pPr>
        <w:keepNext w:val="false"/>
        <w:keepLines w:val="false"/>
        <w:pageBreakBefore w:val="false"/>
        <w:widowControl w:val="false"/>
        <w:pBdr/>
        <w:spacing w:line="600" w:lineRule="exact"/>
        <w:ind/>
        <w:jc w:val="right"/>
        <w:rPr>
          <w:rFonts w:hint="eastAsia" w:ascii="宋体" w:hAnsi="宋体" w:eastAsia="宋体" w:cs="宋体"/>
          <w:sz w:val="24"/>
          <w:szCs w:val="24"/>
        </w:rPr>
      </w:pPr>
      <w:r>
        <w:rPr>
          <w:rFonts w:hint="eastAsia" w:ascii="宋体" w:hAnsi="宋体" w:eastAsia="宋体" w:cs="宋体"/>
          <w:sz w:val="24"/>
          <w:szCs w:val="24"/>
        </w:rPr>
        <w:t xml:space="preserve">财政部办公厅</w:t>
      </w:r>
      <w:r>
        <w:rPr>
          <w:rFonts w:hint="eastAsia" w:ascii="宋体" w:hAnsi="宋体" w:eastAsia="宋体" w:cs="宋体"/>
          <w:sz w:val="24"/>
          <w:szCs w:val="24"/>
        </w:rPr>
      </w:r>
    </w:p>
    <w:p>
      <w:pPr>
        <w:keepNext w:val="false"/>
        <w:keepLines w:val="false"/>
        <w:pageBreakBefore w:val="false"/>
        <w:widowControl w:val="false"/>
        <w:pBdr/>
        <w:spacing w:line="600" w:lineRule="exact"/>
        <w:ind/>
        <w:jc w:val="right"/>
        <w:rPr>
          <w:rFonts w:hint="eastAsia" w:ascii="宋体" w:hAnsi="宋体" w:eastAsia="宋体" w:cs="宋体"/>
          <w:sz w:val="24"/>
          <w:szCs w:val="24"/>
        </w:rPr>
      </w:pPr>
      <w:r>
        <w:rPr>
          <w:rFonts w:hint="eastAsia" w:ascii="宋体" w:hAnsi="宋体" w:eastAsia="宋体" w:cs="宋体"/>
          <w:sz w:val="24"/>
          <w:szCs w:val="24"/>
        </w:rPr>
        <w:t xml:space="preserve">　　国家税务总局办公厅</w:t>
      </w:r>
      <w:r>
        <w:rPr>
          <w:rFonts w:hint="eastAsia" w:ascii="宋体" w:hAnsi="宋体" w:eastAsia="宋体" w:cs="宋体"/>
          <w:sz w:val="24"/>
          <w:szCs w:val="24"/>
        </w:rPr>
      </w:r>
    </w:p>
    <w:p>
      <w:pPr>
        <w:keepNext w:val="false"/>
        <w:keepLines w:val="false"/>
        <w:pageBreakBefore w:val="false"/>
        <w:widowControl w:val="false"/>
        <w:pBdr/>
        <w:spacing w:line="600" w:lineRule="exact"/>
        <w:ind/>
        <w:jc w:val="right"/>
        <w:rPr>
          <w:rFonts w:hint="eastAsia" w:ascii="宋体" w:hAnsi="宋体" w:eastAsia="宋体" w:cs="宋体"/>
          <w:sz w:val="24"/>
          <w:szCs w:val="24"/>
        </w:rPr>
      </w:pPr>
      <w:r>
        <w:rPr>
          <w:rFonts w:hint="eastAsia" w:ascii="宋体" w:hAnsi="宋体" w:eastAsia="宋体" w:cs="宋体"/>
          <w:sz w:val="24"/>
          <w:szCs w:val="24"/>
        </w:rPr>
        <w:t xml:space="preserve">国家医保局办公室</w:t>
      </w:r>
      <w:r>
        <w:rPr>
          <w:rFonts w:hint="eastAsia" w:ascii="宋体" w:hAnsi="宋体" w:eastAsia="宋体" w:cs="宋体"/>
          <w:sz w:val="24"/>
          <w:szCs w:val="24"/>
        </w:rPr>
      </w:r>
    </w:p>
    <w:p>
      <w:pPr>
        <w:keepNext w:val="false"/>
        <w:keepLines w:val="false"/>
        <w:pageBreakBefore w:val="false"/>
        <w:widowControl w:val="false"/>
        <w:pBdr/>
        <w:spacing w:line="600" w:lineRule="exact"/>
        <w:ind w:firstLine="480"/>
        <w:jc w:val="right"/>
        <w:rPr>
          <w:rFonts w:hint="eastAsia" w:ascii="宋体" w:hAnsi="宋体" w:eastAsia="宋体" w:cs="宋体"/>
          <w:sz w:val="24"/>
          <w:szCs w:val="24"/>
        </w:rPr>
      </w:pPr>
      <w:r>
        <w:rPr>
          <w:rFonts w:hint="eastAsia" w:ascii="宋体" w:hAnsi="宋体" w:eastAsia="宋体" w:cs="宋体"/>
          <w:sz w:val="24"/>
          <w:szCs w:val="24"/>
        </w:rPr>
        <w:t xml:space="preserve">2024年12月30日</w:t>
      </w:r>
      <w:r>
        <w:rPr>
          <w:rFonts w:hint="eastAsia" w:ascii="宋体" w:hAnsi="宋体" w:eastAsia="宋体" w:cs="宋体"/>
          <w:sz w:val="24"/>
          <w:szCs w:val="24"/>
        </w:rPr>
      </w:r>
    </w:p>
    <w:p>
      <w:pPr>
        <w:keepNext w:val="false"/>
        <w:keepLines w:val="false"/>
        <w:pageBreakBefore w:val="false"/>
        <w:widowControl w:val="false"/>
        <w:pBdr/>
        <w:spacing w:line="600" w:lineRule="exact"/>
        <w:ind/>
        <w:jc w:val="both"/>
        <w:rPr>
          <w:rFonts w:hint="eastAsia" w:ascii="宋体" w:hAnsi="宋体" w:eastAsia="宋体" w:cs="宋体"/>
          <w:sz w:val="24"/>
          <w:szCs w:val="24"/>
        </w:rPr>
      </w:pPr>
      <w:r>
        <w:rPr>
          <w:rFonts w:hint="eastAsia" w:ascii="宋体" w:hAnsi="宋体" w:eastAsia="宋体" w:cs="宋体"/>
          <w:sz w:val="24"/>
          <w:szCs w:val="24"/>
        </w:rPr>
        <w:t xml:space="preserve">（此件主动公开）</w:t>
      </w:r>
      <w:r>
        <w:rPr>
          <w:rFonts w:hint="eastAsia" w:ascii="宋体" w:hAnsi="宋体" w:eastAsia="宋体" w:cs="宋体"/>
          <w:sz w:val="24"/>
          <w:szCs w:val="24"/>
        </w:rPr>
      </w:r>
    </w:p>
    <w:p>
      <w:pPr>
        <w:keepNext w:val="false"/>
        <w:keepLines w:val="false"/>
        <w:pageBreakBefore w:val="false"/>
        <w:widowControl w:val="false"/>
        <w:pBdr/>
        <w:spacing w:line="600" w:lineRule="exact"/>
        <w:ind/>
        <w:jc w:val="both"/>
        <w:rPr>
          <w:rFonts w:hint="eastAsia" w:ascii="宋体" w:hAnsi="宋体" w:eastAsia="宋体" w:cs="宋体"/>
          <w:sz w:val="24"/>
          <w:szCs w:val="24"/>
        </w:rPr>
      </w:pPr>
      <w:r>
        <w:rPr>
          <w:rFonts w:hint="eastAsia" w:ascii="宋体" w:hAnsi="宋体" w:eastAsia="宋体" w:cs="宋体"/>
          <w:sz w:val="24"/>
          <w:szCs w:val="24"/>
        </w:rPr>
        <w:t xml:space="preserve">（联系单位：人力资源社会保障部失业保险司）</w:t>
      </w:r>
      <w:r>
        <w:rPr>
          <w:rFonts w:hint="eastAsia" w:ascii="宋体" w:hAnsi="宋体" w:eastAsia="宋体" w:cs="宋体"/>
          <w:sz w:val="24"/>
          <w:szCs w:val="24"/>
        </w:rPr>
      </w:r>
    </w:p>
    <w:sectPr>
      <w:footnotePr/>
      <w:endnotePr/>
      <w:type w:val="nextPage"/>
      <w:pgSz w:h="16838" w:orient="landscape" w:w="11906"/>
      <w:pgMar w:top="1440" w:right="1800" w:bottom="1440" w:left="1800" w:header="851" w:footer="992" w:gutter="0"/>
      <w:cols w:num="1" w:sep="0" w:space="425"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等线">
    <w:panose1 w:val="020B0604020202020204"/>
  </w:font>
  <w:font w:name="宋体">
    <w:panose1 w:val="02010600030101010101"/>
  </w:font>
  <w:font w:name="Times New Roman">
    <w:panose1 w:val="020206030504050203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enforcement="0"/>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useFELayout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宋体" w:cs="Times New Roman"/>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18"/>
    <w:next w:val="618"/>
    <w:link w:val="14"/>
    <w:uiPriority w:val="9"/>
    <w:qFormat/>
    <w:pPr>
      <w:keepNext w:val="true"/>
      <w:keepLines w:val="true"/>
      <w:pBdr/>
      <w:spacing w:after="200" w:before="480"/>
      <w:ind/>
      <w:outlineLvl w:val="0"/>
    </w:pPr>
    <w:rPr>
      <w:rFonts w:ascii="等线" w:hAnsi="等线" w:eastAsia="等线" w:cs="等线"/>
      <w:sz w:val="40"/>
      <w:szCs w:val="40"/>
    </w:rPr>
  </w:style>
  <w:style w:type="character" w:styleId="14">
    <w:name w:val="Heading 1 Char"/>
    <w:basedOn w:val="619"/>
    <w:link w:val="13"/>
    <w:uiPriority w:val="9"/>
    <w:pPr>
      <w:pBdr/>
      <w:spacing/>
      <w:ind/>
    </w:pPr>
    <w:rPr>
      <w:rFonts w:ascii="等线" w:hAnsi="等线" w:eastAsia="等线" w:cs="等线"/>
      <w:sz w:val="40"/>
      <w:szCs w:val="40"/>
    </w:rPr>
  </w:style>
  <w:style w:type="paragraph" w:styleId="15">
    <w:name w:val="Heading 2"/>
    <w:basedOn w:val="618"/>
    <w:next w:val="618"/>
    <w:link w:val="16"/>
    <w:uiPriority w:val="9"/>
    <w:unhideWhenUsed/>
    <w:qFormat/>
    <w:pPr>
      <w:keepNext w:val="true"/>
      <w:keepLines w:val="true"/>
      <w:pBdr/>
      <w:spacing w:after="200" w:before="360"/>
      <w:ind/>
      <w:outlineLvl w:val="1"/>
    </w:pPr>
    <w:rPr>
      <w:rFonts w:ascii="等线" w:hAnsi="等线" w:eastAsia="等线" w:cs="等线"/>
      <w:sz w:val="34"/>
    </w:rPr>
  </w:style>
  <w:style w:type="character" w:styleId="16">
    <w:name w:val="Heading 2 Char"/>
    <w:basedOn w:val="619"/>
    <w:link w:val="15"/>
    <w:uiPriority w:val="9"/>
    <w:pPr>
      <w:pBdr/>
      <w:spacing/>
      <w:ind/>
    </w:pPr>
    <w:rPr>
      <w:rFonts w:ascii="等线" w:hAnsi="等线" w:eastAsia="等线" w:cs="等线"/>
      <w:sz w:val="34"/>
    </w:rPr>
  </w:style>
  <w:style w:type="paragraph" w:styleId="17">
    <w:name w:val="Heading 3"/>
    <w:basedOn w:val="618"/>
    <w:next w:val="618"/>
    <w:link w:val="18"/>
    <w:uiPriority w:val="9"/>
    <w:unhideWhenUsed/>
    <w:qFormat/>
    <w:pPr>
      <w:keepNext w:val="true"/>
      <w:keepLines w:val="true"/>
      <w:pBdr/>
      <w:spacing w:after="200" w:before="320"/>
      <w:ind/>
      <w:outlineLvl w:val="2"/>
    </w:pPr>
    <w:rPr>
      <w:rFonts w:ascii="等线" w:hAnsi="等线" w:eastAsia="等线" w:cs="等线"/>
      <w:sz w:val="30"/>
      <w:szCs w:val="30"/>
    </w:rPr>
  </w:style>
  <w:style w:type="character" w:styleId="18">
    <w:name w:val="Heading 3 Char"/>
    <w:basedOn w:val="619"/>
    <w:link w:val="17"/>
    <w:uiPriority w:val="9"/>
    <w:pPr>
      <w:pBdr/>
      <w:spacing/>
      <w:ind/>
    </w:pPr>
    <w:rPr>
      <w:rFonts w:ascii="等线" w:hAnsi="等线" w:eastAsia="等线" w:cs="等线"/>
      <w:sz w:val="30"/>
      <w:szCs w:val="30"/>
    </w:rPr>
  </w:style>
  <w:style w:type="paragraph" w:styleId="19">
    <w:name w:val="Heading 4"/>
    <w:basedOn w:val="618"/>
    <w:next w:val="618"/>
    <w:link w:val="20"/>
    <w:uiPriority w:val="9"/>
    <w:unhideWhenUsed/>
    <w:qFormat/>
    <w:pPr>
      <w:keepNext w:val="true"/>
      <w:keepLines w:val="true"/>
      <w:pBdr/>
      <w:spacing w:after="200" w:before="320"/>
      <w:ind/>
      <w:outlineLvl w:val="3"/>
    </w:pPr>
    <w:rPr>
      <w:rFonts w:ascii="等线" w:hAnsi="等线" w:eastAsia="等线" w:cs="等线"/>
      <w:b/>
      <w:bCs/>
      <w:sz w:val="26"/>
      <w:szCs w:val="26"/>
    </w:rPr>
  </w:style>
  <w:style w:type="character" w:styleId="20">
    <w:name w:val="Heading 4 Char"/>
    <w:basedOn w:val="619"/>
    <w:link w:val="19"/>
    <w:uiPriority w:val="9"/>
    <w:pPr>
      <w:pBdr/>
      <w:spacing/>
      <w:ind/>
    </w:pPr>
    <w:rPr>
      <w:rFonts w:ascii="等线" w:hAnsi="等线" w:eastAsia="等线" w:cs="等线"/>
      <w:b/>
      <w:bCs/>
      <w:sz w:val="26"/>
      <w:szCs w:val="26"/>
    </w:rPr>
  </w:style>
  <w:style w:type="paragraph" w:styleId="21">
    <w:name w:val="Heading 5"/>
    <w:basedOn w:val="618"/>
    <w:next w:val="618"/>
    <w:link w:val="22"/>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22">
    <w:name w:val="Heading 5 Char"/>
    <w:basedOn w:val="619"/>
    <w:link w:val="21"/>
    <w:uiPriority w:val="9"/>
    <w:pPr>
      <w:pBdr/>
      <w:spacing/>
      <w:ind/>
    </w:pPr>
    <w:rPr>
      <w:rFonts w:ascii="等线" w:hAnsi="等线" w:eastAsia="等线" w:cs="等线"/>
      <w:b/>
      <w:bCs/>
      <w:sz w:val="24"/>
      <w:szCs w:val="24"/>
    </w:rPr>
  </w:style>
  <w:style w:type="paragraph" w:styleId="23">
    <w:name w:val="Heading 6"/>
    <w:basedOn w:val="618"/>
    <w:next w:val="618"/>
    <w:link w:val="24"/>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24">
    <w:name w:val="Heading 6 Char"/>
    <w:basedOn w:val="619"/>
    <w:link w:val="23"/>
    <w:uiPriority w:val="9"/>
    <w:pPr>
      <w:pBdr/>
      <w:spacing/>
      <w:ind/>
    </w:pPr>
    <w:rPr>
      <w:rFonts w:ascii="等线" w:hAnsi="等线" w:eastAsia="等线" w:cs="等线"/>
      <w:b/>
      <w:bCs/>
      <w:sz w:val="22"/>
      <w:szCs w:val="22"/>
    </w:rPr>
  </w:style>
  <w:style w:type="paragraph" w:styleId="25">
    <w:name w:val="Heading 7"/>
    <w:basedOn w:val="618"/>
    <w:next w:val="618"/>
    <w:link w:val="2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26">
    <w:name w:val="Heading 7 Char"/>
    <w:basedOn w:val="619"/>
    <w:link w:val="25"/>
    <w:uiPriority w:val="9"/>
    <w:pPr>
      <w:pBdr/>
      <w:spacing/>
      <w:ind/>
    </w:pPr>
    <w:rPr>
      <w:rFonts w:ascii="等线" w:hAnsi="等线" w:eastAsia="等线" w:cs="等线"/>
      <w:b/>
      <w:bCs/>
      <w:i/>
      <w:iCs/>
      <w:sz w:val="22"/>
      <w:szCs w:val="22"/>
    </w:rPr>
  </w:style>
  <w:style w:type="paragraph" w:styleId="27">
    <w:name w:val="Heading 8"/>
    <w:basedOn w:val="618"/>
    <w:next w:val="618"/>
    <w:link w:val="28"/>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28">
    <w:name w:val="Heading 8 Char"/>
    <w:basedOn w:val="619"/>
    <w:link w:val="27"/>
    <w:uiPriority w:val="9"/>
    <w:pPr>
      <w:pBdr/>
      <w:spacing/>
      <w:ind/>
    </w:pPr>
    <w:rPr>
      <w:rFonts w:ascii="等线" w:hAnsi="等线" w:eastAsia="等线" w:cs="等线"/>
      <w:i/>
      <w:iCs/>
      <w:sz w:val="22"/>
      <w:szCs w:val="22"/>
    </w:rPr>
  </w:style>
  <w:style w:type="paragraph" w:styleId="29">
    <w:name w:val="Heading 9"/>
    <w:basedOn w:val="618"/>
    <w:next w:val="618"/>
    <w:link w:val="30"/>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30">
    <w:name w:val="Heading 9 Char"/>
    <w:basedOn w:val="619"/>
    <w:link w:val="29"/>
    <w:uiPriority w:val="9"/>
    <w:pPr>
      <w:pBdr/>
      <w:spacing/>
      <w:ind/>
    </w:pPr>
    <w:rPr>
      <w:rFonts w:ascii="等线" w:hAnsi="等线" w:eastAsia="等线" w:cs="等线"/>
      <w:i/>
      <w:iCs/>
      <w:sz w:val="21"/>
      <w:szCs w:val="21"/>
    </w:rPr>
  </w:style>
  <w:style w:type="paragraph" w:styleId="31">
    <w:name w:val="List Paragraph"/>
    <w:basedOn w:val="618"/>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618"/>
    <w:next w:val="618"/>
    <w:link w:val="35"/>
    <w:uiPriority w:val="10"/>
    <w:qFormat/>
    <w:pPr>
      <w:pBdr/>
      <w:spacing w:after="200" w:before="300"/>
      <w:ind/>
      <w:contextualSpacing w:val="true"/>
    </w:pPr>
    <w:rPr>
      <w:sz w:val="48"/>
      <w:szCs w:val="48"/>
    </w:rPr>
  </w:style>
  <w:style w:type="character" w:styleId="35">
    <w:name w:val="Title Char"/>
    <w:basedOn w:val="619"/>
    <w:link w:val="34"/>
    <w:uiPriority w:val="10"/>
    <w:pPr>
      <w:pBdr/>
      <w:spacing/>
      <w:ind/>
    </w:pPr>
    <w:rPr>
      <w:sz w:val="48"/>
      <w:szCs w:val="48"/>
    </w:rPr>
  </w:style>
  <w:style w:type="paragraph" w:styleId="36">
    <w:name w:val="Subtitle"/>
    <w:basedOn w:val="618"/>
    <w:next w:val="618"/>
    <w:link w:val="37"/>
    <w:uiPriority w:val="11"/>
    <w:qFormat/>
    <w:pPr>
      <w:pBdr/>
      <w:spacing w:after="200" w:before="200"/>
      <w:ind/>
    </w:pPr>
    <w:rPr>
      <w:sz w:val="24"/>
      <w:szCs w:val="24"/>
    </w:rPr>
  </w:style>
  <w:style w:type="character" w:styleId="37">
    <w:name w:val="Subtitle Char"/>
    <w:basedOn w:val="619"/>
    <w:link w:val="36"/>
    <w:uiPriority w:val="11"/>
    <w:pPr>
      <w:pBdr/>
      <w:spacing/>
      <w:ind/>
    </w:pPr>
    <w:rPr>
      <w:sz w:val="24"/>
      <w:szCs w:val="24"/>
    </w:rPr>
  </w:style>
  <w:style w:type="paragraph" w:styleId="38">
    <w:name w:val="Quote"/>
    <w:basedOn w:val="618"/>
    <w:next w:val="618"/>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18"/>
    <w:next w:val="618"/>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618"/>
    <w:link w:val="43"/>
    <w:uiPriority w:val="99"/>
    <w:unhideWhenUsed/>
    <w:pPr>
      <w:pBdr/>
      <w:tabs>
        <w:tab w:val="center" w:leader="none" w:pos="7143"/>
        <w:tab w:val="right" w:leader="none" w:pos="14287"/>
      </w:tabs>
      <w:spacing w:after="0" w:line="240" w:lineRule="auto"/>
      <w:ind/>
    </w:pPr>
  </w:style>
  <w:style w:type="character" w:styleId="43">
    <w:name w:val="Header Char"/>
    <w:basedOn w:val="619"/>
    <w:link w:val="42"/>
    <w:uiPriority w:val="99"/>
    <w:pPr>
      <w:pBdr/>
      <w:spacing/>
      <w:ind/>
    </w:pPr>
  </w:style>
  <w:style w:type="paragraph" w:styleId="44">
    <w:name w:val="Footer"/>
    <w:basedOn w:val="618"/>
    <w:link w:val="47"/>
    <w:uiPriority w:val="99"/>
    <w:unhideWhenUsed/>
    <w:pPr>
      <w:pBdr/>
      <w:tabs>
        <w:tab w:val="center" w:leader="none" w:pos="7143"/>
        <w:tab w:val="right" w:leader="none" w:pos="14287"/>
      </w:tabs>
      <w:spacing w:after="0" w:line="240" w:lineRule="auto"/>
      <w:ind/>
    </w:pPr>
  </w:style>
  <w:style w:type="character" w:styleId="45">
    <w:name w:val="Footer Char"/>
    <w:basedOn w:val="619"/>
    <w:link w:val="44"/>
    <w:uiPriority w:val="99"/>
    <w:pPr>
      <w:pBdr/>
      <w:spacing/>
      <w:ind/>
    </w:pPr>
  </w:style>
  <w:style w:type="paragraph" w:styleId="46">
    <w:name w:val="Caption"/>
    <w:basedOn w:val="618"/>
    <w:next w:val="618"/>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620"/>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620"/>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620"/>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620"/>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62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62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62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620"/>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62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62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62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62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62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62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62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62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62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62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62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62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62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62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62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62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62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62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62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62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620"/>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620"/>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6"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6"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620"/>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620"/>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620"/>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620"/>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620"/>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62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62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cPr>
      <w:tcBorders/>
    </w:tcPr>
    <w:tblStylePr w:type="band1Horz">
      <w:pPr>
        <w:pBdr/>
        <w:spacing/>
        <w:ind/>
      </w:pPr>
      <w:tblPr>
        <w:tblBorders/>
      </w:tblPr>
      <w:tcPr>
        <w:shd w:val="clear" w:color="ffffff" w:themeColor="accent1" w:themeTint="75" w:fill="b4d2eb" w:themeFill="accent1" w:themeFillTint="75"/>
        <w:tcBorders/>
      </w:tcPr>
    </w:tblStylePr>
    <w:tblStylePr w:type="band1Vert">
      <w:pPr>
        <w:pBdr/>
        <w:spacing/>
        <w:ind/>
      </w:pPr>
      <w:tblPr>
        <w:tblBorders/>
      </w:tblPr>
      <w:tcPr>
        <w:shd w:val="clear" w:color="ffffff" w:themeColor="accent1" w:themeTint="75" w:fill="b4d2eb"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62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cPr>
      <w:tcBorders/>
    </w:tcPr>
    <w:tblStylePr w:type="band1Horz">
      <w:pPr>
        <w:pBdr/>
        <w:spacing/>
        <w:ind/>
      </w:pPr>
      <w:tblPr>
        <w:tblBorders/>
      </w:tblPr>
      <w:tcPr>
        <w:shd w:val="clear" w:color="ffffff" w:themeColor="accent2" w:themeTint="75" w:fill="f6c3a1" w:themeFill="accent2" w:themeFillTint="75"/>
        <w:tcBorders/>
      </w:tcPr>
    </w:tblStylePr>
    <w:tblStylePr w:type="band1Vert">
      <w:pPr>
        <w:pBdr/>
        <w:spacing/>
        <w:ind/>
      </w:pPr>
      <w:tblPr>
        <w:tblBorders/>
      </w:tblPr>
      <w:tcPr>
        <w:shd w:val="clear" w:color="ffffff" w:themeColor="accent2" w:themeTint="75" w:fill="f6c3a1"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62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62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cPr>
      <w:tcBorders/>
    </w:tcPr>
    <w:tblStylePr w:type="band1Horz">
      <w:pPr>
        <w:pBdr/>
        <w:spacing/>
        <w:ind/>
      </w:pPr>
      <w:tblPr>
        <w:tblBorders/>
      </w:tblPr>
      <w:tcPr>
        <w:shd w:val="clear" w:color="ffffff" w:themeColor="accent4" w:themeTint="75" w:fill="fee189" w:themeFill="accent4" w:themeFillTint="75"/>
        <w:tcBorders/>
      </w:tcPr>
    </w:tblStylePr>
    <w:tblStylePr w:type="band1Vert">
      <w:pPr>
        <w:pBdr/>
        <w:spacing/>
        <w:ind/>
      </w:pPr>
      <w:tblPr>
        <w:tblBorders/>
      </w:tblPr>
      <w:tcPr>
        <w:shd w:val="clear" w:color="ffffff" w:themeColor="accent4" w:themeTint="75" w:fill="fee189"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62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cPr>
      <w:tcBorders/>
    </w:tcPr>
    <w:tblStylePr w:type="band1Horz">
      <w:pPr>
        <w:pBdr/>
        <w:spacing/>
        <w:ind/>
      </w:pPr>
      <w:tblPr>
        <w:tblBorders/>
      </w:tblPr>
      <w:tcPr>
        <w:shd w:val="clear" w:color="ffffff" w:themeColor="accent5" w:themeTint="75" w:fill="aabfe3" w:themeFill="accent5" w:themeFillTint="75"/>
        <w:tcBorders/>
      </w:tcPr>
    </w:tblStylePr>
    <w:tblStylePr w:type="band1Vert">
      <w:pPr>
        <w:pBdr/>
        <w:spacing/>
        <w:ind/>
      </w:pPr>
      <w:tblPr>
        <w:tblBorders/>
      </w:tblPr>
      <w:tcPr>
        <w:shd w:val="clear" w:color="ffffff" w:themeColor="accent5" w:themeTint="75" w:fill="aabfe3"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62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cPr>
      <w:tcBorders/>
    </w:tcPr>
    <w:tblStylePr w:type="band1Horz">
      <w:pPr>
        <w:pBdr/>
        <w:spacing/>
        <w:ind/>
      </w:pPr>
      <w:tblPr>
        <w:tblBorders/>
      </w:tblPr>
      <w:tcPr>
        <w:shd w:val="clear" w:color="ffffff" w:themeColor="accent6" w:themeTint="75" w:fill="bedba8" w:themeFill="accent6" w:themeFillTint="75"/>
        <w:tcBorders/>
      </w:tcPr>
    </w:tblStylePr>
    <w:tblStylePr w:type="band1Vert">
      <w:pPr>
        <w:pBdr/>
        <w:spacing/>
        <w:ind/>
      </w:pPr>
      <w:tblPr>
        <w:tblBorders/>
      </w:tblPr>
      <w:tcPr>
        <w:shd w:val="clear" w:color="ffffff" w:themeColor="accent6" w:themeTint="75" w:fill="be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620"/>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620"/>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debf6" w:themeFill="accent1" w:themeFillTint="34"/>
        <w:tcBorders/>
      </w:tcPr>
    </w:tblStylePr>
    <w:tblStylePr w:type="band1Vert">
      <w:pPr>
        <w:pBdr/>
        <w:spacing/>
        <w:ind/>
      </w:pPr>
      <w:tblPr>
        <w:tblBorders/>
      </w:tblPr>
      <w:tcPr>
        <w:shd w:val="clear" w:color="ffffff" w:themeColor="accent1" w:themeTint="34" w:fill="dd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17bba" w:themeColor="accent1" w:themeTint="80" w:themeShade="95"/>
      </w:rPr>
      <w:pPr>
        <w:pBdr/>
        <w:spacing/>
        <w:ind/>
      </w:pPr>
      <w:tblPr>
        <w:tblBorders/>
      </w:tblPr>
      <w:tcPr>
        <w:tcBorders/>
      </w:tcPr>
    </w:tblStylePr>
    <w:tblStylePr w:type="firstRow">
      <w:rPr>
        <w:b/>
        <w:color w:val="317bba" w:themeColor="accent1" w:themeTint="80" w:themeShade="95"/>
      </w:rPr>
      <w:pPr>
        <w:pBdr/>
        <w:spacing/>
        <w:ind/>
      </w:pPr>
      <w:tblPr>
        <w:tblBorders/>
      </w:tblPr>
      <w:tcPr>
        <w:tcBorders>
          <w:bottom w:val="single" w:color="000000" w:themeColor="accent1" w:themeTint="80" w:sz="12" w:space="0"/>
        </w:tcBorders>
      </w:tcPr>
    </w:tblStylePr>
    <w:tblStylePr w:type="lastCol">
      <w:rPr>
        <w:b/>
        <w:color w:val="317bba" w:themeColor="accent1" w:themeTint="80" w:themeShade="95"/>
      </w:rPr>
      <w:pPr>
        <w:pBdr/>
        <w:spacing/>
        <w:ind/>
      </w:pPr>
      <w:tblPr>
        <w:tblBorders/>
      </w:tblPr>
      <w:tcPr>
        <w:tcBorders/>
      </w:tcPr>
    </w:tblStylePr>
    <w:tblStylePr w:type="lastRow">
      <w:rPr>
        <w:b/>
        <w:color w:val="317bba"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62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5d6" w:themeFill="accent2" w:themeFillTint="32"/>
        <w:tcBorders/>
      </w:tcPr>
    </w:tblStylePr>
    <w:tblStylePr w:type="band1Vert">
      <w:pPr>
        <w:pBdr/>
        <w:spacing/>
        <w:ind/>
      </w:pPr>
      <w:tblPr>
        <w:tblBorders/>
      </w:tblPr>
      <w:tcPr>
        <w:shd w:val="clear" w:color="ffffff" w:themeColor="accent2" w:themeTint="32" w:fill="fbe5d6"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12"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620"/>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62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ef2cb" w:themeFill="accent4" w:themeFillTint="34"/>
        <w:tcBorders/>
      </w:tcPr>
    </w:tblStylePr>
    <w:tblStylePr w:type="band1Vert">
      <w:pPr>
        <w:pBdr/>
        <w:spacing/>
        <w:ind/>
      </w:pPr>
      <w:tblPr>
        <w:tblBorders/>
      </w:tblPr>
      <w:tcPr>
        <w:shd w:val="clear" w:color="ffffff" w:themeColor="accent4" w:themeTint="34" w:fill="fe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12"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620"/>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2" w:themeFill="accent5" w:themeFillTint="34"/>
        <w:tcBorders/>
      </w:tcPr>
    </w:tblStylePr>
    <w:tblStylePr w:type="band1Vert">
      <w:pPr>
        <w:pBdr/>
        <w:spacing/>
        <w:ind/>
      </w:pPr>
      <w:tblPr>
        <w:tblBorders/>
      </w:tblPr>
      <w:tcPr>
        <w:shd w:val="clear" w:color="ffffff" w:themeColor="accent5" w:themeTint="34" w:fill="d9e2f2"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374" w:themeColor="accent5" w:themeShade="95"/>
      </w:rPr>
      <w:pPr>
        <w:pBdr/>
        <w:spacing/>
        <w:ind/>
      </w:pPr>
      <w:tblPr>
        <w:tblBorders/>
      </w:tblPr>
      <w:tcPr>
        <w:tcBorders/>
      </w:tcPr>
    </w:tblStylePr>
    <w:tblStylePr w:type="firstRow">
      <w:rPr>
        <w:b/>
        <w:color w:val="254374" w:themeColor="accent5" w:themeShade="95"/>
      </w:rPr>
      <w:pPr>
        <w:pBdr/>
        <w:spacing/>
        <w:ind/>
      </w:pPr>
      <w:tblPr>
        <w:tblBorders/>
      </w:tblPr>
      <w:tcPr>
        <w:tcBorders>
          <w:bottom w:val="single" w:color="000000" w:themeColor="accent5" w:sz="12" w:space="0"/>
        </w:tcBorders>
      </w:tcPr>
    </w:tblStylePr>
    <w:tblStylePr w:type="lastCol">
      <w:rPr>
        <w:b/>
        <w:color w:val="254374" w:themeColor="accent5" w:themeShade="95"/>
      </w:rPr>
      <w:pPr>
        <w:pBdr/>
        <w:spacing/>
        <w:ind/>
      </w:pPr>
      <w:tblPr>
        <w:tblBorders/>
      </w:tblPr>
      <w:tcPr>
        <w:tcBorders/>
      </w:tcPr>
    </w:tblStylePr>
    <w:tblStylePr w:type="lastRow">
      <w:rPr>
        <w:b/>
        <w:color w:val="254374"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620"/>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8" w:themeFill="accent6" w:themeFillTint="34"/>
        <w:tcBorders/>
      </w:tcPr>
    </w:tblStylePr>
    <w:tblStylePr w:type="band1Vert">
      <w:pPr>
        <w:pBdr/>
        <w:spacing/>
        <w:ind/>
      </w:pPr>
      <w:tblPr>
        <w:tblBorders/>
      </w:tblPr>
      <w:tcPr>
        <w:shd w:val="clear" w:color="ffffff" w:themeColor="accent6" w:themeTint="34" w:fill="e2ef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374" w:themeColor="accent5" w:themeShade="95"/>
      </w:rPr>
      <w:pPr>
        <w:pBdr/>
        <w:spacing/>
        <w:ind/>
      </w:pPr>
      <w:tblPr>
        <w:tblBorders/>
      </w:tblPr>
      <w:tcPr>
        <w:tcBorders/>
      </w:tcPr>
    </w:tblStylePr>
    <w:tblStylePr w:type="firstRow">
      <w:rPr>
        <w:b/>
        <w:color w:val="254374" w:themeColor="accent5" w:themeShade="95"/>
      </w:rPr>
      <w:pPr>
        <w:pBdr/>
        <w:spacing/>
        <w:ind/>
      </w:pPr>
      <w:tblPr>
        <w:tblBorders/>
      </w:tblPr>
      <w:tcPr>
        <w:tcBorders>
          <w:bottom w:val="single" w:color="000000" w:themeColor="accent6" w:sz="12" w:space="0"/>
        </w:tcBorders>
      </w:tcPr>
    </w:tblStylePr>
    <w:tblStylePr w:type="lastCol">
      <w:rPr>
        <w:b/>
        <w:color w:val="254374" w:themeColor="accent5" w:themeShade="95"/>
      </w:rPr>
      <w:pPr>
        <w:pBdr/>
        <w:spacing/>
        <w:ind/>
      </w:pPr>
      <w:tblPr>
        <w:tblBorders/>
      </w:tblPr>
      <w:tcPr>
        <w:tcBorders/>
      </w:tcPr>
    </w:tblStylePr>
    <w:tblStylePr w:type="lastRow">
      <w:rPr>
        <w:b/>
        <w:color w:val="254374"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620"/>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620"/>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17bba" w:themeColor="accent1" w:themeTint="80" w:themeShade="95"/>
        <w:sz w:val="22"/>
      </w:rPr>
      <w:pPr>
        <w:pBdr/>
        <w:spacing/>
        <w:ind/>
      </w:pPr>
      <w:tblPr>
        <w:tblBorders/>
      </w:tblPr>
      <w:tcPr>
        <w:shd w:val="clear" w:color="ffffff" w:themeColor="accent1" w:themeTint="34" w:fill="ddebf6" w:themeFill="accent1" w:themeFillTint="34"/>
        <w:tcBorders/>
      </w:tcPr>
    </w:tblStylePr>
    <w:tblStylePr w:type="band1Vert">
      <w:pPr>
        <w:pBdr/>
        <w:spacing/>
        <w:ind/>
      </w:pPr>
      <w:tblPr>
        <w:tblBorders/>
      </w:tblPr>
      <w:tcPr>
        <w:shd w:val="clear" w:color="ffffff" w:themeColor="accent1" w:themeTint="34" w:fill="ddebf6" w:themeFill="accent1" w:themeFillTint="34"/>
        <w:tcBorders/>
      </w:tcPr>
    </w:tblStylePr>
    <w:tblStylePr w:type="band2Horz">
      <w:rPr>
        <w:rFonts w:ascii="Arial" w:hAnsi="Arial"/>
        <w:color w:val="317bba"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17bba"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620"/>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32" w:fill="fbe5d6" w:themeFill="accent2" w:themeFillTint="32"/>
        <w:tcBorders/>
      </w:tcPr>
    </w:tblStylePr>
    <w:tblStylePr w:type="band1Vert">
      <w:pPr>
        <w:pBdr/>
        <w:spacing/>
        <w:ind/>
      </w:pPr>
      <w:tblPr>
        <w:tblBorders/>
      </w:tblPr>
      <w:tcPr>
        <w:shd w:val="clear" w:color="ffffff" w:themeColor="accent2" w:themeTint="32" w:fill="fbe5d6" w:themeFill="accent2" w:themeFillTint="32"/>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620"/>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620"/>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34" w:fill="fef2cb" w:themeFill="accent4" w:themeFillTint="34"/>
        <w:tcBorders/>
      </w:tcPr>
    </w:tblStylePr>
    <w:tblStylePr w:type="band1Vert">
      <w:pPr>
        <w:pBdr/>
        <w:spacing/>
        <w:ind/>
      </w:pPr>
      <w:tblPr>
        <w:tblBorders/>
      </w:tblPr>
      <w:tcPr>
        <w:shd w:val="clear" w:color="ffffff" w:themeColor="accent4" w:themeTint="34" w:fill="fef2cb" w:themeFill="accent4" w:themeFillTint="34"/>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620"/>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374" w:themeColor="accent5" w:themeShade="95"/>
        <w:sz w:val="22"/>
      </w:rPr>
      <w:pPr>
        <w:pBdr/>
        <w:spacing/>
        <w:ind/>
      </w:pPr>
      <w:tblPr>
        <w:tblBorders/>
      </w:tblPr>
      <w:tcPr>
        <w:shd w:val="clear" w:color="ffffff" w:themeColor="accent5" w:themeTint="34" w:fill="d9e2f2" w:themeFill="accent5" w:themeFillTint="34"/>
        <w:tcBorders/>
      </w:tcPr>
    </w:tblStylePr>
    <w:tblStylePr w:type="band1Vert">
      <w:pPr>
        <w:pBdr/>
        <w:spacing/>
        <w:ind/>
      </w:pPr>
      <w:tblPr>
        <w:tblBorders/>
      </w:tblPr>
      <w:tcPr>
        <w:shd w:val="clear" w:color="ffffff" w:themeColor="accent5" w:themeTint="34" w:fill="d9e2f2" w:themeFill="accent5" w:themeFillTint="34"/>
        <w:tcBorders/>
      </w:tcPr>
    </w:tblStylePr>
    <w:tblStylePr w:type="band2Horz">
      <w:rPr>
        <w:rFonts w:ascii="Arial" w:hAnsi="Arial"/>
        <w:color w:val="254374"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374"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620"/>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26429" w:themeColor="accent6" w:themeShade="95"/>
        <w:sz w:val="22"/>
      </w:rPr>
      <w:pPr>
        <w:pBdr/>
        <w:spacing/>
        <w:ind/>
      </w:pPr>
      <w:tblPr>
        <w:tblBorders/>
      </w:tblPr>
      <w:tcPr>
        <w:shd w:val="clear" w:color="ffffff" w:themeColor="accent6" w:themeTint="34" w:fill="e2efd8" w:themeFill="accent6" w:themeFillTint="34"/>
        <w:tcBorders/>
      </w:tcPr>
    </w:tblStylePr>
    <w:tblStylePr w:type="band1Vert">
      <w:pPr>
        <w:pBdr/>
        <w:spacing/>
        <w:ind/>
      </w:pPr>
      <w:tblPr>
        <w:tblBorders/>
      </w:tblPr>
      <w:tcPr>
        <w:shd w:val="clear" w:color="ffffff" w:themeColor="accent6" w:themeTint="34" w:fill="e2efd8" w:themeFill="accent6" w:themeFillTint="34"/>
        <w:tcBorders/>
      </w:tcPr>
    </w:tblStylePr>
    <w:tblStylePr w:type="band2Horz">
      <w:rPr>
        <w:rFonts w:ascii="Arial" w:hAnsi="Arial"/>
        <w:color w:val="4264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264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62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62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5e6f4" w:themeFill="accent1" w:themeFillTint="40"/>
        <w:tcBorders/>
      </w:tcPr>
    </w:tblStylePr>
    <w:tblStylePr w:type="band1Vert">
      <w:pPr>
        <w:pBdr/>
        <w:spacing/>
        <w:ind/>
      </w:pPr>
      <w:tblPr>
        <w:tblBorders/>
      </w:tblPr>
      <w:tcPr>
        <w:shd w:val="clear" w:color="ffffff" w:themeColor="accent1" w:themeTint="40" w:fill="d5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62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62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62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62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cfdcf0" w:themeFill="accent5" w:themeFillTint="40"/>
        <w:tcBorders/>
      </w:tcPr>
    </w:tblStylePr>
    <w:tblStylePr w:type="band1Vert">
      <w:pPr>
        <w:pBdr/>
        <w:spacing/>
        <w:ind/>
      </w:pPr>
      <w:tblPr>
        <w:tblBorders/>
      </w:tblPr>
      <w:tcPr>
        <w:shd w:val="clear" w:color="ffffff" w:themeColor="accent5" w:themeTint="40" w:fill="cf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62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620"/>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620"/>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620"/>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620"/>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620"/>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620"/>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620"/>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62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620"/>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62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1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620"/>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62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864"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620"/>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b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620"/>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ad0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62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620"/>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620"/>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620"/>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620"/>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620"/>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620"/>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620"/>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620"/>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620"/>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cPr>
      <w:tcBorders/>
    </w:tcPr>
    <w:tblStylePr w:type="band1Horz">
      <w:pPr>
        <w:pBdr/>
        <w:spacing/>
        <w:ind/>
      </w:pPr>
      <w:tblPr>
        <w:tblBorders/>
      </w:tblPr>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620"/>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620"/>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cPr>
      <w:tcBorders/>
    </w:tcPr>
    <w:tblStylePr w:type="band1Horz">
      <w:pPr>
        <w:pBdr/>
        <w:spacing/>
        <w:ind/>
      </w:pPr>
      <w:tblPr>
        <w:tblBorders/>
      </w:tblPr>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620"/>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cPr>
      <w:tcBorders/>
    </w:tcPr>
    <w:tblStylePr w:type="band1Horz">
      <w:pPr>
        <w:pBdr/>
        <w:spacing/>
        <w:ind/>
      </w:pPr>
      <w:tblPr>
        <w:tblBorders/>
      </w:tblPr>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620"/>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cPr>
      <w:tcBorders/>
    </w:tcPr>
    <w:tblStylePr w:type="band1Horz">
      <w:pPr>
        <w:pBdr/>
        <w:spacing/>
        <w:ind/>
      </w:pPr>
      <w:tblPr>
        <w:tblBorders/>
      </w:tblPr>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620"/>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620"/>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5e6f4" w:themeFill="accent1" w:themeFillTint="40"/>
        <w:tcBorders/>
      </w:tcPr>
    </w:tblStylePr>
    <w:tblStylePr w:type="band1Vert">
      <w:pPr>
        <w:pBdr/>
        <w:spacing/>
        <w:ind/>
      </w:pPr>
      <w:tblPr>
        <w:tblBorders/>
      </w:tblPr>
      <w:tcPr>
        <w:shd w:val="clear" w:color="ffffff" w:themeColor="accent1" w:themeTint="40" w:fill="d5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d8d" w:themeColor="accent1" w:themeShade="95"/>
      </w:rPr>
      <w:pPr>
        <w:pBdr/>
        <w:spacing/>
        <w:ind/>
      </w:pPr>
      <w:tblPr>
        <w:tblBorders/>
      </w:tblPr>
      <w:tcPr>
        <w:tcBorders/>
      </w:tcPr>
    </w:tblStylePr>
    <w:tblStylePr w:type="firstRow">
      <w:rPr>
        <w:b/>
        <w:color w:val="245d8d" w:themeColor="accent1" w:themeShade="95"/>
      </w:rPr>
      <w:pPr>
        <w:pBdr/>
        <w:spacing/>
        <w:ind/>
      </w:pPr>
      <w:tblPr>
        <w:tblBorders/>
      </w:tblPr>
      <w:tcPr>
        <w:tcBorders>
          <w:bottom w:val="single" w:color="000000" w:themeColor="accent1" w:sz="4" w:space="0"/>
        </w:tcBorders>
      </w:tcPr>
    </w:tblStylePr>
    <w:tblStylePr w:type="lastCol">
      <w:rPr>
        <w:b/>
        <w:color w:val="245d8d" w:themeColor="accent1" w:themeShade="95"/>
      </w:rPr>
      <w:pPr>
        <w:pBdr/>
        <w:spacing/>
        <w:ind/>
      </w:pPr>
      <w:tblPr>
        <w:tblBorders/>
      </w:tblPr>
      <w:tcPr>
        <w:tcBorders/>
      </w:tcPr>
    </w:tblStylePr>
    <w:tblStylePr w:type="lastRow">
      <w:rPr>
        <w:b/>
        <w:color w:val="245d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620"/>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4"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620"/>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620"/>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4"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620"/>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cfdcf0" w:themeFill="accent5" w:themeFillTint="40"/>
        <w:tcBorders/>
      </w:tcPr>
    </w:tblStylePr>
    <w:tblStylePr w:type="band1Vert">
      <w:pPr>
        <w:pBdr/>
        <w:spacing/>
        <w:ind/>
      </w:pPr>
      <w:tblPr>
        <w:tblBorders/>
      </w:tblPr>
      <w:tcPr>
        <w:shd w:val="clear" w:color="ffffff" w:themeColor="accent5" w:themeTint="40" w:fill="cf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e9e" w:themeColor="accent5" w:themeTint="9A" w:themeShade="95"/>
      </w:rPr>
      <w:pPr>
        <w:pBdr/>
        <w:spacing/>
        <w:ind/>
      </w:pPr>
      <w:tblPr>
        <w:tblBorders/>
      </w:tblPr>
      <w:tcPr>
        <w:tcBorders/>
      </w:tcPr>
    </w:tblStylePr>
    <w:tblStylePr w:type="firstRow">
      <w:rPr>
        <w:b/>
        <w:color w:val="335e9e" w:themeColor="accent5" w:themeTint="9A" w:themeShade="95"/>
      </w:rPr>
      <w:pPr>
        <w:pBdr/>
        <w:spacing/>
        <w:ind/>
      </w:pPr>
      <w:tblPr>
        <w:tblBorders/>
      </w:tblPr>
      <w:tcPr>
        <w:tcBorders>
          <w:bottom w:val="single" w:color="000000" w:themeColor="accent5" w:themeTint="9A" w:sz="4" w:space="0"/>
        </w:tcBorders>
      </w:tcPr>
    </w:tblStylePr>
    <w:tblStylePr w:type="lastCol">
      <w:rPr>
        <w:b/>
        <w:color w:val="335e9e" w:themeColor="accent5" w:themeTint="9A" w:themeShade="95"/>
      </w:rPr>
      <w:pPr>
        <w:pBdr/>
        <w:spacing/>
        <w:ind/>
      </w:pPr>
      <w:tblPr>
        <w:tblBorders/>
      </w:tblPr>
      <w:tcPr>
        <w:tcBorders/>
      </w:tcPr>
    </w:tblStylePr>
    <w:tblStylePr w:type="lastRow">
      <w:rPr>
        <w:b/>
        <w:color w:val="335e9e"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620"/>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f8f3c" w:themeColor="accent6" w:themeTint="98" w:themeShade="95"/>
      </w:rPr>
      <w:pPr>
        <w:pBdr/>
        <w:spacing/>
        <w:ind/>
      </w:pPr>
      <w:tblPr>
        <w:tblBorders/>
      </w:tblPr>
      <w:tcPr>
        <w:tcBorders/>
      </w:tcPr>
    </w:tblStylePr>
    <w:tblStylePr w:type="firstRow">
      <w:rPr>
        <w:b/>
        <w:color w:val="5f8f3c" w:themeColor="accent6" w:themeTint="98" w:themeShade="95"/>
      </w:rPr>
      <w:pPr>
        <w:pBdr/>
        <w:spacing/>
        <w:ind/>
      </w:pPr>
      <w:tblPr>
        <w:tblBorders/>
      </w:tblPr>
      <w:tcPr>
        <w:tcBorders>
          <w:bottom w:val="single" w:color="000000" w:themeColor="accent6" w:themeTint="98" w:sz="4" w:space="0"/>
        </w:tcBorders>
      </w:tcPr>
    </w:tblStylePr>
    <w:tblStylePr w:type="lastCol">
      <w:rPr>
        <w:b/>
        <w:color w:val="5f8f3c" w:themeColor="accent6" w:themeTint="98" w:themeShade="95"/>
      </w:rPr>
      <w:pPr>
        <w:pBdr/>
        <w:spacing/>
        <w:ind/>
      </w:pPr>
      <w:tblPr>
        <w:tblBorders/>
      </w:tblPr>
      <w:tcPr>
        <w:tcBorders/>
      </w:tcPr>
    </w:tblStylePr>
    <w:tblStylePr w:type="lastRow">
      <w:rPr>
        <w:b/>
        <w:color w:val="5f8f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620"/>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620"/>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d8d" w:themeColor="accent1" w:themeShade="95"/>
        <w:sz w:val="22"/>
      </w:rPr>
      <w:pPr>
        <w:pBdr/>
        <w:spacing/>
        <w:ind/>
      </w:pPr>
      <w:tblPr>
        <w:tblBorders/>
      </w:tblPr>
      <w:tcPr>
        <w:shd w:val="clear" w:color="ffffff" w:themeColor="accent1" w:themeTint="40" w:fill="d5e6f4" w:themeFill="accent1" w:themeFillTint="40"/>
        <w:tcBorders/>
      </w:tcPr>
    </w:tblStylePr>
    <w:tblStylePr w:type="band1Vert">
      <w:pPr>
        <w:pBdr/>
        <w:spacing/>
        <w:ind/>
      </w:pPr>
      <w:tblPr>
        <w:tblBorders/>
      </w:tblPr>
      <w:tcPr>
        <w:shd w:val="clear" w:color="ffffff" w:themeColor="accent1" w:themeTint="40" w:fill="d5e6f4" w:themeFill="accent1" w:themeFillTint="40"/>
        <w:tcBorders/>
      </w:tcPr>
    </w:tblStylePr>
    <w:tblStylePr w:type="band2Horz">
      <w:rPr>
        <w:rFonts w:ascii="Arial" w:hAnsi="Arial"/>
        <w:color w:val="245d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d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d8d" w:themeColor="accent1" w:themeShade="95"/>
        <w:sz w:val="22"/>
      </w:rPr>
      <w:pPr>
        <w:pBdr/>
        <w:spacing/>
        <w:ind/>
      </w:pPr>
      <w:tblPr>
        <w:tblBorders/>
      </w:tblPr>
      <w:tcPr>
        <w:tcBorders/>
      </w:tcPr>
    </w:tblStylePr>
  </w:style>
  <w:style w:type="table" w:styleId="148">
    <w:name w:val="List Table 7 Colorful - Accent 2"/>
    <w:basedOn w:val="620"/>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95712" w:themeColor="accent2" w:themeTint="97" w:themeShade="95"/>
        <w:sz w:val="22"/>
      </w:rPr>
      <w:pPr>
        <w:pBdr/>
        <w:spacing/>
        <w:ind/>
      </w:pPr>
      <w:tblPr>
        <w:tblBorders/>
      </w:tblPr>
      <w:tcPr>
        <w:tcBorders/>
      </w:tcPr>
    </w:tblStylePr>
  </w:style>
  <w:style w:type="table" w:styleId="149">
    <w:name w:val="List Table 7 Colorful - Accent 3"/>
    <w:basedOn w:val="620"/>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50">
    <w:name w:val="List Table 7 Colorful - Accent 4"/>
    <w:basedOn w:val="620"/>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d9600" w:themeColor="accent4" w:themeTint="9A" w:themeShade="95"/>
        <w:sz w:val="22"/>
      </w:rPr>
      <w:pPr>
        <w:pBdr/>
        <w:spacing/>
        <w:ind/>
      </w:pPr>
      <w:tblPr>
        <w:tblBorders/>
      </w:tblPr>
      <w:tcPr>
        <w:tcBorders/>
      </w:tcPr>
    </w:tblStylePr>
  </w:style>
  <w:style w:type="table" w:styleId="151">
    <w:name w:val="List Table 7 Colorful - Accent 5"/>
    <w:basedOn w:val="620"/>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e9e" w:themeColor="accent5" w:themeTint="9A" w:themeShade="95"/>
        <w:sz w:val="22"/>
      </w:rPr>
      <w:pPr>
        <w:pBdr/>
        <w:spacing/>
        <w:ind/>
      </w:pPr>
      <w:tblPr>
        <w:tblBorders/>
      </w:tblPr>
      <w:tcPr>
        <w:shd w:val="clear" w:color="ffffff" w:themeColor="accent5" w:themeTint="40" w:fill="cfdcf0" w:themeFill="accent5" w:themeFillTint="40"/>
        <w:tcBorders/>
      </w:tcPr>
    </w:tblStylePr>
    <w:tblStylePr w:type="band1Vert">
      <w:pPr>
        <w:pBdr/>
        <w:spacing/>
        <w:ind/>
      </w:pPr>
      <w:tblPr>
        <w:tblBorders/>
      </w:tblPr>
      <w:tcPr>
        <w:shd w:val="clear" w:color="ffffff" w:themeColor="accent5" w:themeTint="40" w:fill="cfdcf0" w:themeFill="accent5" w:themeFillTint="40"/>
        <w:tcBorders/>
      </w:tcPr>
    </w:tblStylePr>
    <w:tblStylePr w:type="band2Horz">
      <w:rPr>
        <w:rFonts w:ascii="Arial" w:hAnsi="Arial"/>
        <w:color w:val="335e9e"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e9e"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e9e" w:themeColor="accent5" w:themeTint="9A" w:themeShade="95"/>
        <w:sz w:val="22"/>
      </w:rPr>
      <w:pPr>
        <w:pBdr/>
        <w:spacing/>
        <w:ind/>
      </w:pPr>
      <w:tblPr>
        <w:tblBorders/>
      </w:tblPr>
      <w:tcPr>
        <w:tcBorders/>
      </w:tcPr>
    </w:tblStylePr>
  </w:style>
  <w:style w:type="table" w:styleId="152">
    <w:name w:val="List Table 7 Colorful - Accent 6"/>
    <w:basedOn w:val="620"/>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f8f3c" w:themeColor="accent6" w:themeTint="98" w:themeShade="95"/>
        <w:sz w:val="22"/>
      </w:rPr>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rPr>
        <w:rFonts w:ascii="Arial" w:hAnsi="Arial"/>
        <w:color w:val="5f8f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f8f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f8f3c" w:themeColor="accent6" w:themeTint="98" w:themeShade="95"/>
        <w:sz w:val="22"/>
      </w:rPr>
      <w:pPr>
        <w:pBdr/>
        <w:spacing/>
        <w:ind/>
      </w:pPr>
      <w:tblPr>
        <w:tblBorders/>
      </w:tblPr>
      <w:tcPr>
        <w:tcBorders/>
      </w:tcPr>
    </w:tblStylePr>
  </w:style>
  <w:style w:type="table" w:styleId="153">
    <w:name w:val="Lined - Accent"/>
    <w:basedOn w:val="62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62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62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62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62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62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62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620"/>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620"/>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620"/>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620"/>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620"/>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620"/>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620"/>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620"/>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62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62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62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62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62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62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18"/>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619"/>
    <w:uiPriority w:val="99"/>
    <w:unhideWhenUsed/>
    <w:pPr>
      <w:pBdr/>
      <w:spacing/>
      <w:ind/>
    </w:pPr>
    <w:rPr>
      <w:vertAlign w:val="superscript"/>
    </w:rPr>
  </w:style>
  <w:style w:type="paragraph" w:styleId="178">
    <w:name w:val="endnote text"/>
    <w:basedOn w:val="618"/>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619"/>
    <w:uiPriority w:val="99"/>
    <w:semiHidden/>
    <w:unhideWhenUsed/>
    <w:pPr>
      <w:pBdr/>
      <w:spacing/>
      <w:ind/>
    </w:pPr>
    <w:rPr>
      <w:vertAlign w:val="superscript"/>
    </w:rPr>
  </w:style>
  <w:style w:type="paragraph" w:styleId="181">
    <w:name w:val="toc 1"/>
    <w:basedOn w:val="618"/>
    <w:next w:val="618"/>
    <w:uiPriority w:val="39"/>
    <w:unhideWhenUsed/>
    <w:pPr>
      <w:pBdr/>
      <w:spacing w:after="57"/>
      <w:ind w:right="0" w:firstLine="0" w:left="0"/>
    </w:pPr>
  </w:style>
  <w:style w:type="paragraph" w:styleId="182">
    <w:name w:val="toc 2"/>
    <w:basedOn w:val="618"/>
    <w:next w:val="618"/>
    <w:uiPriority w:val="39"/>
    <w:unhideWhenUsed/>
    <w:pPr>
      <w:pBdr/>
      <w:spacing w:after="57"/>
      <w:ind w:right="0" w:firstLine="0" w:left="283"/>
    </w:pPr>
  </w:style>
  <w:style w:type="paragraph" w:styleId="183">
    <w:name w:val="toc 3"/>
    <w:basedOn w:val="618"/>
    <w:next w:val="618"/>
    <w:uiPriority w:val="39"/>
    <w:unhideWhenUsed/>
    <w:pPr>
      <w:pBdr/>
      <w:spacing w:after="57"/>
      <w:ind w:right="0" w:firstLine="0" w:left="567"/>
    </w:pPr>
  </w:style>
  <w:style w:type="paragraph" w:styleId="184">
    <w:name w:val="toc 4"/>
    <w:basedOn w:val="618"/>
    <w:next w:val="618"/>
    <w:uiPriority w:val="39"/>
    <w:unhideWhenUsed/>
    <w:pPr>
      <w:pBdr/>
      <w:spacing w:after="57"/>
      <w:ind w:right="0" w:firstLine="0" w:left="850"/>
    </w:pPr>
  </w:style>
  <w:style w:type="paragraph" w:styleId="185">
    <w:name w:val="toc 5"/>
    <w:basedOn w:val="618"/>
    <w:next w:val="618"/>
    <w:uiPriority w:val="39"/>
    <w:unhideWhenUsed/>
    <w:pPr>
      <w:pBdr/>
      <w:spacing w:after="57"/>
      <w:ind w:right="0" w:firstLine="0" w:left="1134"/>
    </w:pPr>
  </w:style>
  <w:style w:type="paragraph" w:styleId="186">
    <w:name w:val="toc 6"/>
    <w:basedOn w:val="618"/>
    <w:next w:val="618"/>
    <w:uiPriority w:val="39"/>
    <w:unhideWhenUsed/>
    <w:pPr>
      <w:pBdr/>
      <w:spacing w:after="57"/>
      <w:ind w:right="0" w:firstLine="0" w:left="1417"/>
    </w:pPr>
  </w:style>
  <w:style w:type="paragraph" w:styleId="187">
    <w:name w:val="toc 7"/>
    <w:basedOn w:val="618"/>
    <w:next w:val="618"/>
    <w:uiPriority w:val="39"/>
    <w:unhideWhenUsed/>
    <w:pPr>
      <w:pBdr/>
      <w:spacing w:after="57"/>
      <w:ind w:right="0" w:firstLine="0" w:left="1701"/>
    </w:pPr>
  </w:style>
  <w:style w:type="paragraph" w:styleId="188">
    <w:name w:val="toc 8"/>
    <w:basedOn w:val="618"/>
    <w:next w:val="618"/>
    <w:uiPriority w:val="39"/>
    <w:unhideWhenUsed/>
    <w:pPr>
      <w:pBdr/>
      <w:spacing w:after="57"/>
      <w:ind w:right="0" w:firstLine="0" w:left="1984"/>
    </w:pPr>
  </w:style>
  <w:style w:type="paragraph" w:styleId="189">
    <w:name w:val="toc 9"/>
    <w:basedOn w:val="618"/>
    <w:next w:val="618"/>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18"/>
    <w:next w:val="618"/>
    <w:uiPriority w:val="99"/>
    <w:unhideWhenUsed/>
    <w:pPr>
      <w:pBdr/>
      <w:spacing w:after="0" w:afterAutospacing="0"/>
      <w:ind/>
    </w:pPr>
  </w:style>
  <w:style w:type="paragraph" w:styleId="618" w:default="1">
    <w:name w:val="Normal"/>
    <w:uiPriority w:val="0"/>
    <w:qFormat/>
    <w:pPr>
      <w:widowControl w:val="false"/>
      <w:pBdr/>
      <w:spacing/>
      <w:ind/>
      <w:jc w:val="both"/>
    </w:pPr>
    <w:rPr>
      <w:rFonts w:asciiTheme="minorHAnsi" w:hAnsiTheme="minorHAnsi" w:eastAsiaTheme="minorEastAsia" w:cstheme="minorBidi"/>
      <w:sz w:val="21"/>
      <w:szCs w:val="24"/>
      <w:lang w:val="en-US" w:eastAsia="zh-CN" w:bidi="ar-SA"/>
    </w:rPr>
  </w:style>
  <w:style w:type="character" w:styleId="619" w:default="1">
    <w:name w:val="Default Paragraph Font"/>
    <w:uiPriority w:val="0"/>
    <w:semiHidden/>
    <w:pPr>
      <w:pBdr/>
      <w:spacing/>
      <w:ind/>
    </w:pPr>
  </w:style>
  <w:style w:type="table" w:styleId="620" w:default="1">
    <w:name w:val="Normal Table"/>
    <w:uiPriority w:val="0"/>
    <w:semiHidden/>
    <w:pPr>
      <w:pBdr/>
      <w:spacing/>
      <w:ind/>
    </w:pPr>
    <w:tblPr>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25" w:default="1">
    <w:name w:val="No List"/>
    <w:uiPriority w:val="99"/>
    <w:semiHidden/>
    <w:unhideWhenUsed/>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等线 Light"/>
        <a:cs typeface="Arial"/>
      </a:majorFont>
      <a:minorFont>
        <a:latin typeface="等线"/>
        <a:ea typeface="等线"/>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Application>ONLYOFFICE/7.5.1.23</Application>
  <DocSecurity>0</DocSecurity>
  <LinksUpToDate>false</LinksUpToDate>
  <ScaleCrop>false</ScaleCrop>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匿名</cp:lastModifiedBy>
  <cp:revision>1</cp:revision>
  <dcterms:created xsi:type="dcterms:W3CDTF">2025-01-17T01:12:00Z</dcterms:created>
  <dcterms:modified xsi:type="dcterms:W3CDTF">2025-01-22T07:50:36Z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