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spacing w:line="300" w:lineRule="exact"/>
        <w:rPr>
          <w:rFonts w:hint="eastAsia"/>
          <w:sz w:val="32"/>
          <w:szCs w:val="32"/>
        </w:rPr>
      </w:pPr>
    </w:p>
    <w:p>
      <w:pPr>
        <w:spacing w:line="300" w:lineRule="exact"/>
        <w:rPr>
          <w:rFonts w:hint="eastAsia"/>
          <w:sz w:val="32"/>
          <w:szCs w:val="32"/>
        </w:rPr>
      </w:pPr>
    </w:p>
    <w:p>
      <w:pPr>
        <w:tabs>
          <w:tab w:val="left" w:pos="6720"/>
        </w:tabs>
        <w:ind w:firstLine="480" w:firstLineChars="150"/>
        <w:jc w:val="center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陇</w:t>
      </w:r>
      <w:r>
        <w:rPr>
          <w:rFonts w:hint="eastAsia" w:eastAsia="方正仿宋_GBK"/>
          <w:sz w:val="32"/>
          <w:szCs w:val="32"/>
        </w:rPr>
        <w:t>环</w:t>
      </w:r>
      <w:r>
        <w:rPr>
          <w:rFonts w:eastAsia="方正仿宋_GBK"/>
          <w:sz w:val="32"/>
          <w:szCs w:val="32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bookmarkStart w:id="0" w:name="_GoBack"/>
      <w:bookmarkEnd w:id="0"/>
      <w:r>
        <w:rPr>
          <w:rFonts w:eastAsia="方正仿宋_GBK"/>
          <w:sz w:val="32"/>
          <w:szCs w:val="32"/>
        </w:rPr>
        <w:t>号</w:t>
      </w:r>
    </w:p>
    <w:p>
      <w:pPr>
        <w:snapToGrid w:val="0"/>
        <w:spacing w:line="600" w:lineRule="exact"/>
        <w:jc w:val="center"/>
        <w:rPr>
          <w:rFonts w:eastAsia="方正小标宋_GBK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eastAsia="方正小标宋_GBK"/>
          <w:color w:val="auto"/>
          <w:sz w:val="44"/>
          <w:szCs w:val="44"/>
        </w:rPr>
      </w:pPr>
      <w:r>
        <w:rPr>
          <w:rFonts w:eastAsia="方正小标宋_GBK"/>
          <w:color w:val="auto"/>
          <w:sz w:val="44"/>
          <w:szCs w:val="44"/>
        </w:rPr>
        <w:t>陇川县环境保护局关于对云南凯喜雅</w:t>
      </w:r>
    </w:p>
    <w:p>
      <w:pPr>
        <w:snapToGrid w:val="0"/>
        <w:spacing w:line="600" w:lineRule="exact"/>
        <w:jc w:val="center"/>
        <w:rPr>
          <w:rFonts w:eastAsia="方正小标宋_GBK"/>
          <w:color w:val="auto"/>
          <w:sz w:val="44"/>
          <w:szCs w:val="44"/>
        </w:rPr>
      </w:pPr>
      <w:r>
        <w:rPr>
          <w:rFonts w:eastAsia="方正小标宋_GBK"/>
          <w:color w:val="auto"/>
          <w:sz w:val="44"/>
          <w:szCs w:val="44"/>
        </w:rPr>
        <w:t>丝绸纺织工业园（一期）项目</w:t>
      </w:r>
    </w:p>
    <w:p>
      <w:pPr>
        <w:snapToGrid w:val="0"/>
        <w:spacing w:line="600" w:lineRule="exact"/>
        <w:jc w:val="center"/>
        <w:rPr>
          <w:rFonts w:eastAsia="方正小标宋_GBK"/>
          <w:color w:val="auto"/>
          <w:sz w:val="44"/>
          <w:szCs w:val="44"/>
        </w:rPr>
      </w:pPr>
      <w:r>
        <w:rPr>
          <w:rFonts w:eastAsia="方正小标宋_GBK"/>
          <w:color w:val="auto"/>
          <w:sz w:val="44"/>
          <w:szCs w:val="44"/>
        </w:rPr>
        <w:t>环境影响报告表的批复</w:t>
      </w:r>
    </w:p>
    <w:p>
      <w:pPr>
        <w:snapToGrid w:val="0"/>
        <w:spacing w:line="560" w:lineRule="exact"/>
        <w:rPr>
          <w:rFonts w:eastAsia="方正仿宋_GBK"/>
          <w:color w:val="auto"/>
          <w:sz w:val="32"/>
          <w:szCs w:val="32"/>
        </w:rPr>
      </w:pPr>
    </w:p>
    <w:p>
      <w:pPr>
        <w:snapToGrid w:val="0"/>
        <w:spacing w:line="560" w:lineRule="exact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云南凯喜雅丝纺实业有限公司：</w:t>
      </w:r>
    </w:p>
    <w:p>
      <w:pPr>
        <w:snapToGrid w:val="0"/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你单位报批的《云南凯喜雅丝绸纺织工业园（一期）项目环境影响报告表（报批稿）》已收悉，结合2019年</w:t>
      </w:r>
      <w:r>
        <w:rPr>
          <w:rFonts w:hint="eastAsia" w:eastAsia="方正仿宋_GBK"/>
          <w:color w:val="auto"/>
          <w:sz w:val="32"/>
          <w:szCs w:val="32"/>
        </w:rPr>
        <w:t>4</w:t>
      </w:r>
      <w:r>
        <w:rPr>
          <w:rFonts w:eastAsia="方正仿宋_GBK"/>
          <w:color w:val="auto"/>
          <w:sz w:val="32"/>
          <w:szCs w:val="32"/>
        </w:rPr>
        <w:t>月18日我局组织的技术评估结果，经认真审阅《报告表》（报批稿），现批复如下：</w:t>
      </w:r>
    </w:p>
    <w:p>
      <w:pPr>
        <w:snapToGrid w:val="0"/>
        <w:spacing w:line="560" w:lineRule="exact"/>
        <w:ind w:firstLine="640" w:firstLineChars="200"/>
        <w:rPr>
          <w:rFonts w:eastAsia="方正黑体_GBK"/>
          <w:color w:val="auto"/>
          <w:sz w:val="32"/>
          <w:szCs w:val="32"/>
        </w:rPr>
      </w:pPr>
      <w:r>
        <w:rPr>
          <w:rFonts w:eastAsia="方正黑体_GBK"/>
          <w:color w:val="auto"/>
          <w:sz w:val="32"/>
          <w:szCs w:val="32"/>
        </w:rPr>
        <w:t>一、项目工程概况及背景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云南陇川凯喜雅丝绸纺织工业园（一期）项目位于陇川工业园区章凤特色工业片区户弄特色工业片，为新建项目，项目中心地理位置坐标为</w:t>
      </w:r>
      <w:r>
        <w:rPr>
          <w:rFonts w:eastAsia="方正仿宋_GBK"/>
          <w:color w:val="auto"/>
          <w:kern w:val="0"/>
          <w:sz w:val="32"/>
          <w:szCs w:val="32"/>
        </w:rPr>
        <w:t>东经97°49'56.23"</w:t>
      </w:r>
      <w:r>
        <w:rPr>
          <w:rFonts w:hint="eastAsia" w:eastAsia="方正仿宋_GBK"/>
          <w:color w:val="auto"/>
          <w:kern w:val="0"/>
          <w:sz w:val="32"/>
          <w:szCs w:val="32"/>
        </w:rPr>
        <w:t>、</w:t>
      </w:r>
      <w:r>
        <w:rPr>
          <w:rFonts w:eastAsia="方正仿宋_GBK"/>
          <w:color w:val="auto"/>
          <w:kern w:val="0"/>
          <w:sz w:val="32"/>
          <w:szCs w:val="32"/>
        </w:rPr>
        <w:t>北纬24°11'24.63"</w:t>
      </w:r>
      <w:r>
        <w:rPr>
          <w:rFonts w:eastAsia="方正仿宋_GBK"/>
          <w:color w:val="auto"/>
          <w:sz w:val="32"/>
          <w:szCs w:val="32"/>
        </w:rPr>
        <w:t>，总占地</w:t>
      </w:r>
      <w:r>
        <w:rPr>
          <w:rFonts w:hint="eastAsia" w:eastAsia="方正仿宋_GBK"/>
          <w:color w:val="auto"/>
          <w:sz w:val="32"/>
          <w:szCs w:val="32"/>
        </w:rPr>
        <w:t>128700</w:t>
      </w:r>
      <w:r>
        <w:rPr>
          <w:rFonts w:eastAsia="方正仿宋_GBK"/>
          <w:color w:val="auto"/>
          <w:sz w:val="32"/>
          <w:szCs w:val="32"/>
        </w:rPr>
        <w:t>m</w:t>
      </w:r>
      <w:r>
        <w:rPr>
          <w:rFonts w:eastAsia="方正仿宋_GBK"/>
          <w:color w:val="auto"/>
          <w:sz w:val="32"/>
          <w:szCs w:val="32"/>
          <w:vertAlign w:val="superscript"/>
        </w:rPr>
        <w:t>2</w:t>
      </w:r>
      <w:r>
        <w:rPr>
          <w:rFonts w:hint="eastAsia" w:eastAsia="方正仿宋_GBK"/>
          <w:color w:val="auto"/>
          <w:sz w:val="32"/>
          <w:szCs w:val="32"/>
        </w:rPr>
        <w:t>（送审稿及会议纪要中为128694.8</w:t>
      </w:r>
      <w:r>
        <w:rPr>
          <w:rFonts w:eastAsia="方正仿宋_GBK"/>
          <w:color w:val="auto"/>
          <w:sz w:val="32"/>
          <w:szCs w:val="32"/>
        </w:rPr>
        <w:t>m</w:t>
      </w:r>
      <w:r>
        <w:rPr>
          <w:rFonts w:eastAsia="方正仿宋_GBK"/>
          <w:color w:val="auto"/>
          <w:sz w:val="32"/>
          <w:szCs w:val="32"/>
          <w:vertAlign w:val="superscript"/>
        </w:rPr>
        <w:t>2</w:t>
      </w:r>
      <w:r>
        <w:rPr>
          <w:rFonts w:hint="eastAsia" w:eastAsia="方正仿宋_GBK"/>
          <w:color w:val="auto"/>
          <w:sz w:val="32"/>
          <w:szCs w:val="32"/>
        </w:rPr>
        <w:t>，土地出让合同中总面积为129058</w:t>
      </w:r>
      <w:r>
        <w:rPr>
          <w:rFonts w:eastAsia="方正仿宋_GBK"/>
          <w:color w:val="auto"/>
          <w:sz w:val="32"/>
          <w:szCs w:val="32"/>
        </w:rPr>
        <w:t>m</w:t>
      </w:r>
      <w:r>
        <w:rPr>
          <w:rFonts w:eastAsia="方正仿宋_GBK"/>
          <w:color w:val="auto"/>
          <w:sz w:val="32"/>
          <w:szCs w:val="32"/>
          <w:vertAlign w:val="superscript"/>
        </w:rPr>
        <w:t>2</w:t>
      </w:r>
      <w:r>
        <w:rPr>
          <w:rFonts w:hint="eastAsia" w:eastAsia="方正仿宋_GBK"/>
          <w:color w:val="auto"/>
          <w:sz w:val="32"/>
          <w:szCs w:val="32"/>
        </w:rPr>
        <w:t>）、</w:t>
      </w:r>
      <w:r>
        <w:rPr>
          <w:rFonts w:eastAsia="方正仿宋_GBK"/>
          <w:color w:val="auto"/>
          <w:sz w:val="32"/>
          <w:szCs w:val="32"/>
        </w:rPr>
        <w:t>总建筑面积128850m</w:t>
      </w:r>
      <w:r>
        <w:rPr>
          <w:rFonts w:eastAsia="方正仿宋_GBK"/>
          <w:color w:val="auto"/>
          <w:sz w:val="32"/>
          <w:szCs w:val="32"/>
          <w:vertAlign w:val="superscript"/>
        </w:rPr>
        <w:t>2</w:t>
      </w:r>
      <w:r>
        <w:rPr>
          <w:rFonts w:hint="eastAsia" w:eastAsia="方正仿宋_GBK"/>
          <w:color w:val="auto"/>
          <w:sz w:val="32"/>
          <w:szCs w:val="32"/>
        </w:rPr>
        <w:t>，</w:t>
      </w:r>
      <w:r>
        <w:rPr>
          <w:rFonts w:eastAsia="方正仿宋_GBK"/>
          <w:color w:val="auto"/>
          <w:sz w:val="32"/>
          <w:szCs w:val="32"/>
        </w:rPr>
        <w:t>总投资11100万元</w:t>
      </w:r>
      <w:r>
        <w:rPr>
          <w:rFonts w:hint="eastAsia" w:eastAsia="方正仿宋_GBK"/>
          <w:color w:val="auto"/>
          <w:sz w:val="32"/>
          <w:szCs w:val="32"/>
        </w:rPr>
        <w:t>、</w:t>
      </w:r>
      <w:r>
        <w:rPr>
          <w:rFonts w:eastAsia="方正仿宋_GBK"/>
          <w:color w:val="auto"/>
          <w:sz w:val="32"/>
          <w:szCs w:val="32"/>
        </w:rPr>
        <w:t>环保投资</w:t>
      </w:r>
      <w:r>
        <w:rPr>
          <w:rFonts w:hint="eastAsia" w:eastAsia="方正仿宋_GBK"/>
          <w:color w:val="auto"/>
          <w:sz w:val="32"/>
          <w:szCs w:val="32"/>
        </w:rPr>
        <w:t>472.82</w:t>
      </w:r>
      <w:r>
        <w:rPr>
          <w:rFonts w:eastAsia="方正仿宋_GBK"/>
          <w:color w:val="auto"/>
          <w:sz w:val="32"/>
          <w:szCs w:val="32"/>
        </w:rPr>
        <w:t>万元。本项目</w:t>
      </w:r>
      <w:r>
        <w:rPr>
          <w:rFonts w:hint="eastAsia" w:eastAsia="方正仿宋_GBK"/>
          <w:color w:val="auto"/>
          <w:sz w:val="32"/>
          <w:szCs w:val="32"/>
        </w:rPr>
        <w:t>工</w:t>
      </w:r>
      <w:r>
        <w:rPr>
          <w:rFonts w:eastAsia="方正仿宋_GBK"/>
          <w:color w:val="auto"/>
          <w:sz w:val="32"/>
          <w:szCs w:val="32"/>
        </w:rPr>
        <w:t>程分为主体工程、辅助工程、公用工程及环保工程</w:t>
      </w:r>
      <w:r>
        <w:rPr>
          <w:rFonts w:hint="eastAsia" w:eastAsia="方正仿宋_GBK"/>
          <w:color w:val="auto"/>
          <w:sz w:val="32"/>
          <w:szCs w:val="32"/>
        </w:rPr>
        <w:t>四</w:t>
      </w:r>
      <w:r>
        <w:rPr>
          <w:rFonts w:eastAsia="方正仿宋_GBK"/>
          <w:color w:val="auto"/>
          <w:sz w:val="32"/>
          <w:szCs w:val="32"/>
        </w:rPr>
        <w:t>个部分，其中，主体工程有6栋厂房，总建筑面积66900</w:t>
      </w:r>
      <w:r>
        <w:rPr>
          <w:rFonts w:eastAsia="方正仿宋_GBK"/>
          <w:color w:val="auto"/>
          <w:kern w:val="0"/>
          <w:sz w:val="32"/>
          <w:szCs w:val="32"/>
        </w:rPr>
        <w:t>m</w:t>
      </w:r>
      <w:r>
        <w:rPr>
          <w:rFonts w:eastAsia="方正仿宋_GBK"/>
          <w:color w:val="auto"/>
          <w:kern w:val="0"/>
          <w:sz w:val="32"/>
          <w:szCs w:val="32"/>
          <w:vertAlign w:val="superscript"/>
        </w:rPr>
        <w:t>2</w:t>
      </w:r>
      <w:r>
        <w:rPr>
          <w:rFonts w:eastAsia="方正仿宋_GBK"/>
          <w:color w:val="auto"/>
          <w:sz w:val="32"/>
          <w:szCs w:val="32"/>
        </w:rPr>
        <w:t>；辅助工程有宿舍8栋建筑面积50400m</w:t>
      </w:r>
      <w:r>
        <w:rPr>
          <w:rFonts w:eastAsia="方正仿宋_GBK"/>
          <w:color w:val="auto"/>
          <w:sz w:val="32"/>
          <w:szCs w:val="32"/>
          <w:vertAlign w:val="superscript"/>
        </w:rPr>
        <w:t>2</w:t>
      </w:r>
      <w:r>
        <w:rPr>
          <w:rFonts w:eastAsia="方正仿宋_GBK"/>
          <w:color w:val="auto"/>
          <w:sz w:val="32"/>
          <w:szCs w:val="32"/>
        </w:rPr>
        <w:t>，食堂5800m</w:t>
      </w:r>
      <w:r>
        <w:rPr>
          <w:rFonts w:eastAsia="方正仿宋_GBK"/>
          <w:color w:val="auto"/>
          <w:sz w:val="32"/>
          <w:szCs w:val="32"/>
          <w:vertAlign w:val="superscript"/>
        </w:rPr>
        <w:t>2</w:t>
      </w:r>
      <w:r>
        <w:rPr>
          <w:rFonts w:eastAsia="方正仿宋_GBK"/>
          <w:color w:val="auto"/>
          <w:sz w:val="32"/>
          <w:szCs w:val="32"/>
        </w:rPr>
        <w:t>，科研楼2栋建筑面积3200m</w:t>
      </w:r>
      <w:r>
        <w:rPr>
          <w:rFonts w:eastAsia="方正仿宋_GBK"/>
          <w:color w:val="auto"/>
          <w:sz w:val="32"/>
          <w:szCs w:val="32"/>
          <w:vertAlign w:val="superscript"/>
        </w:rPr>
        <w:t>2</w:t>
      </w:r>
      <w:r>
        <w:rPr>
          <w:rFonts w:eastAsia="方正仿宋_GBK"/>
          <w:color w:val="auto"/>
          <w:sz w:val="32"/>
          <w:szCs w:val="32"/>
        </w:rPr>
        <w:t>，管理用房9栋2250m</w:t>
      </w:r>
      <w:r>
        <w:rPr>
          <w:rFonts w:eastAsia="方正仿宋_GBK"/>
          <w:color w:val="auto"/>
          <w:sz w:val="32"/>
          <w:szCs w:val="32"/>
          <w:vertAlign w:val="superscript"/>
        </w:rPr>
        <w:t>2</w:t>
      </w:r>
      <w:r>
        <w:rPr>
          <w:rFonts w:eastAsia="方正仿宋_GBK"/>
          <w:color w:val="auto"/>
          <w:sz w:val="32"/>
          <w:szCs w:val="32"/>
        </w:rPr>
        <w:t>，门卫40m</w:t>
      </w:r>
      <w:r>
        <w:rPr>
          <w:rFonts w:eastAsia="方正仿宋_GBK"/>
          <w:color w:val="auto"/>
          <w:sz w:val="32"/>
          <w:szCs w:val="32"/>
          <w:vertAlign w:val="superscript"/>
        </w:rPr>
        <w:t>2</w:t>
      </w:r>
      <w:r>
        <w:rPr>
          <w:rFonts w:eastAsia="方正仿宋_GBK"/>
          <w:color w:val="auto"/>
          <w:sz w:val="32"/>
          <w:szCs w:val="32"/>
        </w:rPr>
        <w:t>，配电房180m</w:t>
      </w:r>
      <w:r>
        <w:rPr>
          <w:rFonts w:eastAsia="方正仿宋_GBK"/>
          <w:color w:val="auto"/>
          <w:sz w:val="32"/>
          <w:szCs w:val="32"/>
          <w:vertAlign w:val="superscript"/>
        </w:rPr>
        <w:t>2</w:t>
      </w:r>
      <w:r>
        <w:rPr>
          <w:rFonts w:eastAsia="方正仿宋_GBK"/>
          <w:color w:val="auto"/>
          <w:sz w:val="32"/>
          <w:szCs w:val="32"/>
        </w:rPr>
        <w:t>，垃圾站80m</w:t>
      </w:r>
      <w:r>
        <w:rPr>
          <w:rFonts w:eastAsia="方正仿宋_GBK"/>
          <w:color w:val="auto"/>
          <w:sz w:val="32"/>
          <w:szCs w:val="32"/>
          <w:vertAlign w:val="superscript"/>
        </w:rPr>
        <w:t>2</w:t>
      </w:r>
      <w:r>
        <w:rPr>
          <w:rFonts w:eastAsia="方正仿宋_GBK"/>
          <w:color w:val="auto"/>
          <w:sz w:val="32"/>
          <w:szCs w:val="32"/>
        </w:rPr>
        <w:t>，机动车停车场和非机动车停车场；公用工程有给水、排水和供电；环保工程有10m</w:t>
      </w:r>
      <w:r>
        <w:rPr>
          <w:rFonts w:eastAsia="方正仿宋_GBK"/>
          <w:color w:val="auto"/>
          <w:sz w:val="32"/>
          <w:szCs w:val="32"/>
          <w:vertAlign w:val="superscript"/>
        </w:rPr>
        <w:t>3</w:t>
      </w:r>
      <w:r>
        <w:rPr>
          <w:rFonts w:eastAsia="方正仿宋_GBK"/>
          <w:color w:val="auto"/>
          <w:sz w:val="32"/>
          <w:szCs w:val="32"/>
        </w:rPr>
        <w:t>隔油池2个，100m</w:t>
      </w:r>
      <w:r>
        <w:rPr>
          <w:rFonts w:eastAsia="方正仿宋_GBK"/>
          <w:color w:val="auto"/>
          <w:sz w:val="32"/>
          <w:szCs w:val="32"/>
          <w:vertAlign w:val="superscript"/>
        </w:rPr>
        <w:t>3</w:t>
      </w:r>
      <w:r>
        <w:rPr>
          <w:rFonts w:eastAsia="方正仿宋_GBK"/>
          <w:color w:val="auto"/>
          <w:sz w:val="32"/>
          <w:szCs w:val="32"/>
        </w:rPr>
        <w:t>化粪池8个，油烟净化器4套，减震隔声，垃圾桶，泔水垃圾桶25个，危废暂存间15m</w:t>
      </w:r>
      <w:r>
        <w:rPr>
          <w:rFonts w:eastAsia="方正仿宋_GBK"/>
          <w:color w:val="auto"/>
          <w:sz w:val="32"/>
          <w:szCs w:val="32"/>
          <w:vertAlign w:val="superscript"/>
        </w:rPr>
        <w:t>2</w:t>
      </w:r>
      <w:r>
        <w:rPr>
          <w:rFonts w:eastAsia="方正仿宋_GBK"/>
          <w:color w:val="auto"/>
          <w:sz w:val="32"/>
          <w:szCs w:val="32"/>
        </w:rPr>
        <w:t>，绿化19600m</w:t>
      </w:r>
      <w:r>
        <w:rPr>
          <w:rFonts w:eastAsia="方正仿宋_GBK"/>
          <w:color w:val="auto"/>
          <w:sz w:val="32"/>
          <w:szCs w:val="32"/>
          <w:vertAlign w:val="superscript"/>
        </w:rPr>
        <w:t>2</w:t>
      </w:r>
      <w:r>
        <w:rPr>
          <w:rFonts w:eastAsia="方正仿宋_GBK"/>
          <w:color w:val="auto"/>
          <w:kern w:val="0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eastAsia="方正黑体_GBK"/>
          <w:color w:val="auto"/>
          <w:sz w:val="32"/>
          <w:szCs w:val="32"/>
        </w:rPr>
      </w:pPr>
      <w:r>
        <w:rPr>
          <w:rFonts w:eastAsia="方正黑体_GBK"/>
          <w:b/>
          <w:color w:val="auto"/>
          <w:sz w:val="32"/>
          <w:szCs w:val="32"/>
        </w:rPr>
        <w:t>二、</w:t>
      </w:r>
      <w:r>
        <w:rPr>
          <w:rFonts w:eastAsia="方正黑体_GBK"/>
          <w:color w:val="auto"/>
          <w:sz w:val="32"/>
          <w:szCs w:val="32"/>
        </w:rPr>
        <w:t>审批意见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该项目符合国家产业政策，《报告表》中的工程概况介绍基本清楚，项目分析与环境影响源的识别基本上反映了项目特性，基本阐明了项目环保工程的合理性。据环评单位调查及项目单位反馈该项目不涉及文物古迹、名木古树等重要保护单位。经我局研究，同意该项目按照《报告表》中的性质、规模、地点、工艺和环境保护对策进行建设。</w:t>
      </w:r>
    </w:p>
    <w:p>
      <w:pPr>
        <w:spacing w:line="560" w:lineRule="exact"/>
        <w:ind w:firstLine="640" w:firstLineChars="200"/>
        <w:rPr>
          <w:rFonts w:eastAsia="方正黑体_GBK"/>
          <w:color w:val="auto"/>
          <w:sz w:val="32"/>
          <w:szCs w:val="32"/>
        </w:rPr>
      </w:pPr>
      <w:r>
        <w:rPr>
          <w:rFonts w:eastAsia="方正黑体_GBK"/>
          <w:color w:val="auto"/>
          <w:sz w:val="32"/>
          <w:szCs w:val="32"/>
        </w:rPr>
        <w:t>三、项目建设及运营过程中应重点做好的工作</w:t>
      </w:r>
    </w:p>
    <w:p>
      <w:pPr>
        <w:snapToGrid w:val="0"/>
        <w:spacing w:line="560" w:lineRule="exact"/>
        <w:ind w:firstLine="640" w:firstLineChars="200"/>
        <w:rPr>
          <w:rFonts w:eastAsia="方正楷体_GBK"/>
          <w:color w:val="auto"/>
          <w:sz w:val="32"/>
          <w:szCs w:val="32"/>
        </w:rPr>
      </w:pPr>
      <w:r>
        <w:rPr>
          <w:rFonts w:eastAsia="方正楷体_GBK"/>
          <w:color w:val="auto"/>
          <w:sz w:val="32"/>
          <w:szCs w:val="32"/>
        </w:rPr>
        <w:t>（一）严格执行“三同时”制度，按照《报告表》及批复认真、规范的建设落实隔油池、化粪池、油烟净化器、减震隔声、危废暂存间、绿化等环保工程措施。</w:t>
      </w:r>
    </w:p>
    <w:p>
      <w:pPr>
        <w:snapToGrid w:val="0"/>
        <w:spacing w:line="560" w:lineRule="exact"/>
        <w:ind w:firstLine="640" w:firstLineChars="200"/>
        <w:rPr>
          <w:rFonts w:eastAsia="方正楷体_GBK"/>
          <w:color w:val="auto"/>
          <w:sz w:val="32"/>
          <w:szCs w:val="32"/>
        </w:rPr>
      </w:pPr>
      <w:r>
        <w:rPr>
          <w:rFonts w:eastAsia="方正楷体_GBK"/>
          <w:color w:val="auto"/>
          <w:sz w:val="32"/>
          <w:szCs w:val="32"/>
        </w:rPr>
        <w:t>（二）不断改善提高污染防治工程措施，从源头减少各项污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6" name="KGD_Gobal1" descr="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" style="position:absolute;left:0pt;margin-left:-86.55pt;margin-top:-94.9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方正楷体_GBK"/>
          <w:color w:val="auto"/>
          <w:sz w:val="32"/>
          <w:szCs w:val="32"/>
        </w:rPr>
        <w:t>染物的产生量，在末端加大污染物的削减量。</w:t>
      </w:r>
    </w:p>
    <w:p>
      <w:pPr>
        <w:snapToGrid w:val="0"/>
        <w:spacing w:line="560" w:lineRule="exact"/>
        <w:ind w:firstLine="640" w:firstLineChars="200"/>
        <w:rPr>
          <w:rFonts w:eastAsia="方正楷体_GBK"/>
          <w:color w:val="auto"/>
          <w:sz w:val="32"/>
          <w:szCs w:val="32"/>
        </w:rPr>
      </w:pPr>
      <w:r>
        <w:rPr>
          <w:rFonts w:eastAsia="方正楷体_GBK"/>
          <w:color w:val="auto"/>
          <w:sz w:val="32"/>
          <w:szCs w:val="32"/>
        </w:rPr>
        <w:t>（三）加强施工期场地噪声、扬尘的防控，规范收集施工废水回用不外排。</w:t>
      </w:r>
    </w:p>
    <w:p>
      <w:pPr>
        <w:snapToGrid w:val="0"/>
        <w:spacing w:line="560" w:lineRule="exact"/>
        <w:ind w:firstLine="640" w:firstLineChars="200"/>
        <w:rPr>
          <w:rFonts w:eastAsia="方正楷体_GBK"/>
          <w:color w:val="auto"/>
          <w:sz w:val="32"/>
          <w:szCs w:val="32"/>
        </w:rPr>
      </w:pPr>
      <w:r>
        <w:rPr>
          <w:rFonts w:eastAsia="方正楷体_GBK"/>
          <w:color w:val="auto"/>
          <w:sz w:val="32"/>
          <w:szCs w:val="32"/>
        </w:rPr>
        <w:t>（四）严格落实《报告表》提出的污水处理措施，加强生活污水处理，</w:t>
      </w:r>
      <w:r>
        <w:rPr>
          <w:rFonts w:hint="eastAsia" w:eastAsia="方正楷体_GBK"/>
          <w:color w:val="auto"/>
          <w:sz w:val="32"/>
          <w:szCs w:val="32"/>
        </w:rPr>
        <w:t>规范的收集处理处置泔水，</w:t>
      </w:r>
      <w:r>
        <w:rPr>
          <w:rFonts w:eastAsia="方正楷体_GBK"/>
          <w:color w:val="auto"/>
          <w:sz w:val="32"/>
          <w:szCs w:val="32"/>
        </w:rPr>
        <w:t>确保生活污水稳定达标</w:t>
      </w:r>
      <w:r>
        <w:rPr>
          <w:rFonts w:hint="eastAsia" w:eastAsia="方正楷体_GBK"/>
          <w:color w:val="auto"/>
          <w:sz w:val="32"/>
          <w:szCs w:val="32"/>
        </w:rPr>
        <w:t>排放</w:t>
      </w:r>
      <w:r>
        <w:rPr>
          <w:rFonts w:eastAsia="方正楷体_GBK"/>
          <w:color w:val="auto"/>
          <w:sz w:val="32"/>
          <w:szCs w:val="32"/>
        </w:rPr>
        <w:t>；妥善运行管理电蒸汽发生器、中烫台及熨斗等用水生产设备，</w:t>
      </w:r>
      <w:r>
        <w:rPr>
          <w:rFonts w:hint="eastAsia" w:eastAsia="方正楷体_GBK"/>
          <w:color w:val="auto"/>
          <w:sz w:val="32"/>
          <w:szCs w:val="32"/>
        </w:rPr>
        <w:t>确保</w:t>
      </w:r>
      <w:r>
        <w:rPr>
          <w:rFonts w:eastAsia="方正楷体_GBK"/>
          <w:color w:val="auto"/>
          <w:sz w:val="32"/>
          <w:szCs w:val="32"/>
        </w:rPr>
        <w:t>不产生生产废水。</w:t>
      </w:r>
    </w:p>
    <w:p>
      <w:pPr>
        <w:snapToGrid w:val="0"/>
        <w:spacing w:line="560" w:lineRule="exact"/>
        <w:ind w:firstLine="640" w:firstLineChars="200"/>
        <w:rPr>
          <w:rFonts w:eastAsia="方正楷体_GBK"/>
          <w:color w:val="auto"/>
          <w:sz w:val="32"/>
          <w:szCs w:val="32"/>
        </w:rPr>
      </w:pPr>
      <w:r>
        <w:rPr>
          <w:rFonts w:eastAsia="方正楷体_GBK"/>
          <w:color w:val="auto"/>
          <w:sz w:val="32"/>
          <w:szCs w:val="32"/>
        </w:rPr>
        <w:t>（五）优先选用低噪生产设备，合理布设高噪声设备，并定期、及时的维修、养护，</w:t>
      </w:r>
      <w:r>
        <w:rPr>
          <w:rFonts w:hint="eastAsia" w:eastAsia="方正楷体_GBK"/>
          <w:color w:val="auto"/>
          <w:sz w:val="32"/>
          <w:szCs w:val="32"/>
        </w:rPr>
        <w:t>认真</w:t>
      </w:r>
      <w:r>
        <w:rPr>
          <w:rFonts w:eastAsia="方正楷体_GBK"/>
          <w:color w:val="auto"/>
          <w:sz w:val="32"/>
          <w:szCs w:val="32"/>
        </w:rPr>
        <w:t>落实封闭、隔声、减震等环保工程措施削除噪声污染影响。</w:t>
      </w:r>
    </w:p>
    <w:p>
      <w:pPr>
        <w:snapToGrid w:val="0"/>
        <w:spacing w:line="560" w:lineRule="exact"/>
        <w:ind w:firstLine="640" w:firstLineChars="200"/>
        <w:rPr>
          <w:rFonts w:eastAsia="方正楷体_GBK"/>
          <w:color w:val="auto"/>
          <w:sz w:val="32"/>
          <w:szCs w:val="32"/>
        </w:rPr>
      </w:pPr>
      <w:r>
        <w:rPr>
          <w:rFonts w:eastAsia="方正楷体_GBK"/>
          <w:color w:val="auto"/>
          <w:sz w:val="32"/>
          <w:szCs w:val="32"/>
        </w:rPr>
        <w:t>（六）施工期及运营期产生的固体废弃物必须妥善收集暂存，尽可能资源化回收综合利用，确实不能综合利用的及时清运至相关部门指定的地点妥善处理、处置，不得随意堆弃；规范收集处理处置厂区内产生的危险废弃物。建议合理配置垃圾收集设施，大力宣传</w:t>
      </w:r>
      <w:r>
        <w:rPr>
          <w:rFonts w:hint="eastAsia" w:eastAsia="方正楷体_GBK"/>
          <w:color w:val="auto"/>
          <w:sz w:val="32"/>
          <w:szCs w:val="32"/>
        </w:rPr>
        <w:t>鼓励</w:t>
      </w:r>
      <w:r>
        <w:rPr>
          <w:rFonts w:eastAsia="方正楷体_GBK"/>
          <w:color w:val="auto"/>
          <w:sz w:val="32"/>
          <w:szCs w:val="32"/>
        </w:rPr>
        <w:t>员工从源头进行固体废弃物分类</w:t>
      </w:r>
      <w:r>
        <w:rPr>
          <w:rFonts w:hint="eastAsia" w:eastAsia="方正楷体_GBK"/>
          <w:color w:val="auto"/>
          <w:sz w:val="32"/>
          <w:szCs w:val="32"/>
        </w:rPr>
        <w:t>；</w:t>
      </w:r>
      <w:r>
        <w:rPr>
          <w:rFonts w:eastAsia="方正楷体_GBK"/>
          <w:color w:val="auto"/>
          <w:sz w:val="32"/>
          <w:szCs w:val="32"/>
        </w:rPr>
        <w:t>建议适当</w:t>
      </w:r>
      <w:r>
        <w:rPr>
          <w:rFonts w:hint="eastAsia" w:eastAsia="方正楷体_GBK"/>
          <w:color w:val="auto"/>
          <w:sz w:val="32"/>
          <w:szCs w:val="32"/>
        </w:rPr>
        <w:t>布设</w:t>
      </w:r>
      <w:r>
        <w:rPr>
          <w:rFonts w:eastAsia="方正楷体_GBK"/>
          <w:color w:val="auto"/>
          <w:sz w:val="32"/>
          <w:szCs w:val="32"/>
        </w:rPr>
        <w:t>防雨防渗的永久性</w:t>
      </w:r>
      <w:r>
        <w:rPr>
          <w:rFonts w:hint="eastAsia" w:eastAsia="方正楷体_GBK"/>
          <w:color w:val="auto"/>
          <w:sz w:val="32"/>
          <w:szCs w:val="32"/>
        </w:rPr>
        <w:t>废电池收储设施</w:t>
      </w:r>
      <w:r>
        <w:rPr>
          <w:rFonts w:eastAsia="方正楷体_GBK"/>
          <w:color w:val="auto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eastAsia="方正楷体_GBK"/>
          <w:color w:val="auto"/>
          <w:sz w:val="32"/>
          <w:szCs w:val="32"/>
        </w:rPr>
      </w:pPr>
      <w:r>
        <w:rPr>
          <w:rFonts w:eastAsia="方正楷体_GBK"/>
          <w:color w:val="auto"/>
          <w:sz w:val="32"/>
          <w:szCs w:val="32"/>
        </w:rPr>
        <w:t>（七）建立健全污染防治设施运行、管理、维护机制，设专人负责各项环保工程设施的运行维护，以及监控污染物产排情况。确保污染防治设施安全稳定运行，规范固废收集处置，确保各项污染物达标排放，</w:t>
      </w:r>
      <w:r>
        <w:rPr>
          <w:rFonts w:hint="eastAsia" w:eastAsia="方正楷体_GBK"/>
          <w:color w:val="auto"/>
          <w:sz w:val="32"/>
          <w:szCs w:val="32"/>
        </w:rPr>
        <w:t>杜绝</w:t>
      </w:r>
      <w:r>
        <w:rPr>
          <w:rFonts w:eastAsia="方正楷体_GBK"/>
          <w:color w:val="auto"/>
          <w:sz w:val="32"/>
          <w:szCs w:val="32"/>
        </w:rPr>
        <w:t>环境污染事故。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方正黑体_GBK"/>
          <w:color w:val="auto"/>
          <w:sz w:val="32"/>
          <w:szCs w:val="32"/>
        </w:rPr>
      </w:pPr>
      <w:r>
        <w:rPr>
          <w:rFonts w:eastAsia="方正黑体_GBK"/>
          <w:color w:val="auto"/>
          <w:sz w:val="32"/>
          <w:szCs w:val="32"/>
        </w:rPr>
        <w:t>四、严格按照《报告表》中工艺、规模进行建设，认真落实环保资金的投入，严格按《报告表》提出的环保投资概算执行，认真落实各项环保工程措施；建立健全环境管理工作机制，明确责任人及职责；按报告要求开展施工期与运营期环境监察及环境监测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方正黑体_GBK"/>
          <w:color w:val="auto"/>
          <w:sz w:val="32"/>
          <w:szCs w:val="32"/>
        </w:rPr>
      </w:pPr>
      <w:r>
        <w:rPr>
          <w:rFonts w:eastAsia="方正黑体_GBK"/>
          <w:color w:val="auto"/>
          <w:sz w:val="32"/>
          <w:szCs w:val="32"/>
        </w:rPr>
        <w:t>五、项目建成后，根据《建设项目环境保护管理条例》及《建设项目竣工环境保护验收管理办法》等有关规定进行试运行及竣工环境保护验收。试运行前需向环评审批单位报告试运行时间，在试运行期间需完成竣工环境保护验收工作，通过竣工环境保护验收方可正式投入运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方正黑体_GBK"/>
          <w:color w:val="auto"/>
          <w:sz w:val="32"/>
          <w:szCs w:val="32"/>
        </w:rPr>
      </w:pPr>
      <w:r>
        <w:rPr>
          <w:rFonts w:eastAsia="方正黑体_GBK"/>
          <w:color w:val="auto"/>
          <w:sz w:val="32"/>
          <w:szCs w:val="32"/>
        </w:rPr>
        <w:t>六、建设项目的性质、规模、地点、采用的生产工艺或者防治污染、防止生态破坏的措施发生重大变动时，建设单位应当重新报批建设项目的环境影响评价文件。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陇川县环境保护局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color w:val="auto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hidden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-11656695</wp:posOffset>
                </wp:positionV>
                <wp:extent cx="15120620" cy="21384260"/>
                <wp:effectExtent l="0" t="0" r="0" b="0"/>
                <wp:wrapNone/>
                <wp:docPr id="3" name="KG_Shd_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4" o:spid="_x0000_s1026" o:spt="1" style="position:absolute;left:0pt;margin-left:-374.2pt;margin-top:-917.85pt;height:1683.8pt;width:1190.6pt;visibility:hidden;z-index:-251658240;v-text-anchor:middle;mso-width-relative:page;mso-height-relative:page;" fillcolor="#FFFFFF" filled="t" stroked="t" coordsize="21600,21600" o:gfxdata="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YnqB7dwAAAAQAQAADwAAAAAAAAABACAAAAAiAAAAZHJzL2Rvd25yZXYu&#10;eG1sUEsBAhQAFAAAAAgAh07iQHlKUl9pAgAABAUAAA4AAAAAAAAAAQAgAAAAKwEAAGRycy9lMm9E&#10;b2MueG1sUEsFBgAAAAAGAAYAWQEAAAYGAAAAAA=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方正仿宋_GBK"/>
          <w:color w:val="auto"/>
          <w:sz w:val="32"/>
          <w:szCs w:val="32"/>
        </w:rPr>
        <w:t>2019年5月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6</w:t>
      </w:r>
      <w:r>
        <w:rPr>
          <w:rFonts w:eastAsia="方正仿宋_GBK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20"/>
        <w:textAlignment w:val="auto"/>
        <w:outlineLvl w:val="9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方正仿宋_GBK"/>
          <w:color w:val="auto"/>
          <w:sz w:val="32"/>
          <w:szCs w:val="32"/>
          <w:lang w:eastAsia="zh-CN"/>
        </w:rPr>
      </w:pPr>
      <w:r>
        <w:rPr>
          <w:rFonts w:hint="eastAsia" w:eastAsia="方正仿宋_GBK"/>
          <w:color w:val="auto"/>
          <w:sz w:val="32"/>
          <w:szCs w:val="32"/>
          <w:lang w:eastAsia="zh-CN"/>
        </w:rPr>
        <w:t>（此件依申请公开）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</w:p>
    <w:p>
      <w:pPr>
        <w:spacing w:line="520" w:lineRule="exact"/>
        <w:rPr>
          <w:rFonts w:hint="eastAsia" w:ascii="方正仿宋_GBK" w:eastAsia="方正仿宋_GBK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343535</wp:posOffset>
                </wp:positionV>
                <wp:extent cx="5760085" cy="0"/>
                <wp:effectExtent l="0" t="0" r="0" b="0"/>
                <wp:wrapSquare wrapText="bothSides"/>
                <wp:docPr id="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top:27.05pt;height:0pt;width:453.55pt;mso-position-horizontal:center;mso-wrap-distance-bottom:0pt;mso-wrap-distance-left:9pt;mso-wrap-distance-right:9pt;mso-wrap-distance-top:0pt;z-index:251661312;mso-width-relative:page;mso-height-relative:page;" filled="f" stroked="t" coordsize="21600,21600" o:gfxdata="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tXYd51AAAAAYBAAAPAAAAAAAAAAEAIAAAACIAAABkcnMv&#10;ZG93bnJldi54bWxQSwECFAAUAAAACACHTuJAL6VOnM4BAACNAwAADgAAAAAAAAABACAAAAAj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spacing w:line="520" w:lineRule="exact"/>
        <w:ind w:firstLine="280" w:firstLineChars="100"/>
      </w:pPr>
      <w:r>
        <w:rPr>
          <w:rFonts w:eastAsia="仿宋_GB23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384175</wp:posOffset>
                </wp:positionV>
                <wp:extent cx="5760085" cy="0"/>
                <wp:effectExtent l="0" t="0" r="0" b="0"/>
                <wp:wrapSquare wrapText="bothSides"/>
                <wp:docPr id="5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-7pt;margin-top:30.25pt;height:0pt;width:453.55pt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TWJ2etcAAAAJAQAADwAAAAAAAAABACAAAAAiAAAAZHJz&#10;L2Rvd25yZXYueG1sUEsBAhQAFAAAAAgAh07iQNLwZVzMAQAAjQMAAA4AAAAAAAAAAQAgAAAAJg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eastAsia="仿宋_GB2312"/>
        </w:rPr>
        <w:t xml:space="preserve">陇川县环境保护局办公室　                 </w:t>
      </w:r>
      <w:r>
        <w:rPr>
          <w:rFonts w:hint="eastAsia" w:eastAsia="仿宋_GB231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</w:rPr>
        <w:t>201</w:t>
      </w:r>
      <w:r>
        <w:rPr>
          <w:rFonts w:hint="default" w:ascii="Times New Roman" w:hAnsi="Times New Roman" w:eastAsia="仿宋_GB2312" w:cs="Times New Roman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</w:rPr>
        <w:t>年</w:t>
      </w:r>
      <w:r>
        <w:rPr>
          <w:rFonts w:hint="eastAsia" w:ascii="Times New Roman" w:hAnsi="Times New Roman" w:eastAsia="仿宋_GB2312" w:cs="Times New Roman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</w:rPr>
        <w:t>月</w:t>
      </w:r>
      <w:r>
        <w:rPr>
          <w:rFonts w:hint="eastAsia" w:ascii="Times New Roman" w:hAnsi="Times New Roman" w:eastAsia="仿宋_GB2312" w:cs="Times New Roman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</w:rPr>
        <w:t>日</w:t>
      </w:r>
      <w:r>
        <w:rPr>
          <w:rFonts w:eastAsia="仿宋_GB2312"/>
        </w:rPr>
        <w:t>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5" w:left="1531" w:header="851" w:footer="1134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firstLine="280" w:firstLineChars="100"/>
      <w:jc w:val="right"/>
    </w:pPr>
    <w:r>
      <w:rPr>
        <w:rStyle w:val="6"/>
        <w:rFonts w:hint="eastAsia"/>
        <w:sz w:val="28"/>
        <w:szCs w:val="28"/>
      </w:rPr>
      <w:t xml:space="preserve">— 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</w:pPr>
    <w:r>
      <w:rPr>
        <w:rStyle w:val="6"/>
        <w:rFonts w:hint="eastAsia"/>
        <w:sz w:val="28"/>
        <w:szCs w:val="28"/>
      </w:rPr>
      <w:t xml:space="preserve">— 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4200"/>
        <w:tab w:val="clear" w:pos="8306"/>
      </w:tabs>
      <w:jc w:val="left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FB82EA29-B234-452D-B2F4-93FEB8A5E44E}"/>
    <w:docVar w:name="DocumentName" w:val="陇环发文件头"/>
  </w:docVars>
  <w:rsids>
    <w:rsidRoot w:val="553E59FE"/>
    <w:rsid w:val="12C706CE"/>
    <w:rsid w:val="14E55CF7"/>
    <w:rsid w:val="14F9735F"/>
    <w:rsid w:val="17D22BCF"/>
    <w:rsid w:val="269D793A"/>
    <w:rsid w:val="2D364EB5"/>
    <w:rsid w:val="553E59FE"/>
    <w:rsid w:val="581F5041"/>
    <w:rsid w:val="586F33D0"/>
    <w:rsid w:val="5CFC09C3"/>
    <w:rsid w:val="64F42444"/>
    <w:rsid w:val="68975C09"/>
    <w:rsid w:val="70C4273B"/>
    <w:rsid w:val="75765C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2019-01-28T09:04:00Z</dcterms:created>
  <dc:creator>陇川县环境保护局</dc:creator>
  <cp:lastModifiedBy>Administrator</cp:lastModifiedBy>
  <dcterms:modified xsi:type="dcterms:W3CDTF">2019-08-26T03:15:09Z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