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14</w:t>
      </w:r>
      <w:bookmarkStart w:id="0" w:name="_GoBack"/>
      <w:bookmarkEnd w:id="0"/>
      <w:r>
        <w:rPr>
          <w:rFonts w:eastAsia="方正仿宋_GBK"/>
          <w:sz w:val="32"/>
          <w:szCs w:val="32"/>
        </w:rPr>
        <w:t>号</w:t>
      </w:r>
    </w:p>
    <w:p>
      <w:pPr>
        <w:snapToGrid w:val="0"/>
        <w:spacing w:line="600" w:lineRule="exact"/>
        <w:jc w:val="center"/>
        <w:rPr>
          <w:rFonts w:ascii="Times New Roman" w:hAnsi="Times New Roman" w:eastAsia="方正小标宋_GBK"/>
          <w:sz w:val="44"/>
          <w:szCs w:val="44"/>
        </w:rPr>
      </w:pPr>
    </w:p>
    <w:p>
      <w:pPr>
        <w:snapToGrid w:val="0"/>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陇川县环境保护局关于对陇川糖果加工生产线建设项目环境影响报告表的批复</w:t>
      </w:r>
    </w:p>
    <w:p>
      <w:pPr>
        <w:snapToGrid w:val="0"/>
        <w:spacing w:line="560" w:lineRule="exact"/>
        <w:rPr>
          <w:rFonts w:ascii="Times New Roman" w:hAnsi="Times New Roman" w:eastAsia="方正仿宋_GBK"/>
          <w:sz w:val="32"/>
          <w:szCs w:val="32"/>
        </w:rPr>
      </w:pPr>
    </w:p>
    <w:p>
      <w:pPr>
        <w:snapToGrid w:val="0"/>
        <w:spacing w:line="560" w:lineRule="exact"/>
        <w:rPr>
          <w:rFonts w:ascii="Times New Roman" w:hAnsi="Times New Roman" w:eastAsia="方正仿宋_GBK"/>
          <w:sz w:val="32"/>
          <w:szCs w:val="32"/>
        </w:rPr>
      </w:pPr>
      <w:r>
        <w:rPr>
          <w:rFonts w:ascii="Times New Roman" w:hAnsi="Times New Roman" w:eastAsia="方正仿宋_GBK"/>
          <w:sz w:val="32"/>
          <w:szCs w:val="32"/>
        </w:rPr>
        <w:t>陇川宝糖进出口有限公司：</w:t>
      </w:r>
    </w:p>
    <w:p>
      <w:pPr>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你单位报批的《陇川糖果加工生产线建设项目环境影响报告表》已收悉，结合2018年2月7日技术审查结果，经我局认真审阅《报告表》（报批稿）现批复如下：</w:t>
      </w:r>
    </w:p>
    <w:p>
      <w:pPr>
        <w:snapToGrid w:val="0"/>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一、项目工程概况及背景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陇川糖果加工生产线建设项目，位于陇川县章凤特色工业园区，厂区中心地理位置坐标为N24°11'41"、E97°50'07"。项目占地面积13333m</w:t>
      </w:r>
      <w:r>
        <w:rPr>
          <w:rFonts w:ascii="Times New Roman" w:hAnsi="Times New Roman" w:eastAsia="方正仿宋_GBK"/>
          <w:sz w:val="32"/>
          <w:szCs w:val="32"/>
          <w:vertAlign w:val="superscript"/>
        </w:rPr>
        <w:t>2</w:t>
      </w:r>
      <w:r>
        <w:rPr>
          <w:rFonts w:ascii="Times New Roman" w:hAnsi="Times New Roman" w:eastAsia="方正仿宋_GBK"/>
          <w:sz w:val="32"/>
          <w:szCs w:val="32"/>
        </w:rPr>
        <w:t>，项目总投资3000万元，其中环保投资58.8万元。建设生产多晶冰糖4275t/a、单晶冰糖15675t/a、糖片3420t/a、红糖5130t/a，总生产能力为28500t/a，生产线两条，主要建设内容有生产车间、包装间、成品间、原料仓库、办公室、卫生间、锅炉房等。</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二、审批意见</w:t>
      </w:r>
    </w:p>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该项目符合国家产业政策，《报告表》中的工程概况介绍清楚，项目分析与环境影响源的识别基本上反映了项目特性，基本阐明了项目环保工程的合理性。项目选址位于陇川县工业园区，符合《云南省陇川工业园区总体规划》，据环评单位调查及业主反馈该项目不涉及自然保护区、风景名胜区、水源地、生态敏感区和军事设施，没有珍稀濒危保护动植物分布，未发现文物古迹、名木古树等重要保护单位。经我局研究，同意该项目按照《报告表》中的性质、规模、地点、工艺和环境保护对策进行建设。</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三、项目建设及运营过程中应重点做好的工作</w:t>
      </w:r>
    </w:p>
    <w:p>
      <w:pPr>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（一）严格执行</w:t>
      </w:r>
      <w:r>
        <w:rPr>
          <w:rFonts w:ascii="Times New Roman" w:hAnsi="Times New Roman" w:eastAsia="方正楷体_GBK"/>
          <w:sz w:val="32"/>
          <w:szCs w:val="32"/>
        </w:rPr>
        <w:t>“</w:t>
      </w:r>
      <w:r>
        <w:rPr>
          <w:rFonts w:hint="eastAsia" w:ascii="Times New Roman" w:hAnsi="Times New Roman" w:eastAsia="方正楷体_GBK"/>
          <w:sz w:val="32"/>
          <w:szCs w:val="32"/>
        </w:rPr>
        <w:t>三同时</w:t>
      </w:r>
      <w:r>
        <w:rPr>
          <w:rFonts w:ascii="Times New Roman" w:hAnsi="Times New Roman" w:eastAsia="方正楷体_GBK"/>
          <w:sz w:val="32"/>
          <w:szCs w:val="32"/>
        </w:rPr>
        <w:t>”</w:t>
      </w:r>
      <w:r>
        <w:rPr>
          <w:rFonts w:hint="eastAsia" w:ascii="Times New Roman" w:hAnsi="Times New Roman" w:eastAsia="方正楷体_GBK"/>
          <w:sz w:val="32"/>
          <w:szCs w:val="32"/>
        </w:rPr>
        <w:t>制度，认真落实《报告表》提出的各项环保工程措施，确保各项污染物达标排放。</w:t>
      </w:r>
    </w:p>
    <w:p>
      <w:pPr>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（二）不断改善提高污染防治工程措施，从源头减少各项污染物的产生量，在末端加大污染物的削减量。</w:t>
      </w:r>
    </w:p>
    <w:p>
      <w:pPr>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（三）加强施工期道路、场地等扬尘的防控，规范收集施工废水、生活污水并有效进行综合利用，或经处理后达标排放。</w:t>
      </w:r>
    </w:p>
    <w:p>
      <w:pPr>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（四）</w:t>
      </w:r>
      <w:r>
        <w:rPr>
          <w:rFonts w:hint="eastAsia" w:eastAsia="方正楷体_GBK"/>
          <w:sz w:val="32"/>
          <w:szCs w:val="32"/>
        </w:rPr>
        <w:t>施工期及运营期产生的固体废弃物必须妥善收集暂存，尽可能资源化回收综合利用，确实不能综合利用的要及时清运至相关部门指定的地点妥善处理、处置，不得随意堆弃。</w:t>
      </w:r>
      <w:r>
        <w:rPr>
          <w:rFonts w:hint="eastAsia" w:ascii="方正楷体_GBK" w:eastAsia="方正楷体_GBK"/>
          <w:sz w:val="32"/>
          <w:szCs w:val="32"/>
        </w:rPr>
        <w:t>建议从源头进行固体废弃物分类，以及设置防雨防渗的永久性废弃电池收</w: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 name="KGD_Gobal1" descr="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"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">
                <v:fill on="t" focussize="0,0"/>
                <v:stroke weight="1pt" color="#41719C [3204]" miterlimit="8" joinstyle="miter"/>
                <v:imagedata o:title=""/>
                <o:lock v:ext="edit" aspectratio="f"/>
              </v:rect>
            </w:pict>
          </mc:Fallback>
        </mc:AlternateContent>
      </w:r>
      <w:r>
        <w:rPr>
          <w:rFonts w:hint="eastAsia" w:ascii="方正楷体_GBK" w:eastAsia="方正楷体_GBK"/>
          <w:sz w:val="32"/>
          <w:szCs w:val="32"/>
        </w:rPr>
        <w:t>集箱或收集池。</w:t>
      </w:r>
    </w:p>
    <w:p>
      <w:pPr>
        <w:snapToGrid w:val="0"/>
        <w:spacing w:line="560" w:lineRule="exact"/>
        <w:ind w:firstLine="640" w:firstLineChars="200"/>
        <w:rPr>
          <w:rFonts w:hint="eastAsia" w:ascii="Times New Roman" w:hAnsi="Times New Roman" w:eastAsia="方正楷体_GBK"/>
          <w:sz w:val="32"/>
          <w:szCs w:val="32"/>
        </w:rPr>
      </w:pPr>
      <w:r>
        <w:rPr>
          <w:rFonts w:hint="eastAsia" w:ascii="Times New Roman" w:hAnsi="Times New Roman" w:eastAsia="方正楷体_GBK"/>
          <w:sz w:val="32"/>
          <w:szCs w:val="32"/>
        </w:rPr>
        <w:t>（五）必须认真落实雨污分流工程，生产废水和生活污水分别全部收集经自建小型污水处理站处理后，近期达《污水综合排放标准》（</w:t>
      </w:r>
      <w:r>
        <w:rPr>
          <w:rFonts w:ascii="Times New Roman" w:hAnsi="Times New Roman" w:eastAsia="方正楷体_GBK"/>
          <w:sz w:val="32"/>
          <w:szCs w:val="32"/>
        </w:rPr>
        <w:t>GB8978-1996</w:t>
      </w:r>
      <w:r>
        <w:rPr>
          <w:rFonts w:hint="eastAsia" w:ascii="Times New Roman" w:hAnsi="Times New Roman" w:eastAsia="方正楷体_GBK"/>
          <w:sz w:val="32"/>
          <w:szCs w:val="32"/>
        </w:rPr>
        <w:t>）一级排放标准后外排，远期达入网标准后排入工业园区市政污水管网。</w:t>
      </w:r>
    </w:p>
    <w:p>
      <w:pPr>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（六）加强锅炉烟气及异味的污染防治，杜绝烟气及异味污染影响厂区内外环境。</w:t>
      </w:r>
    </w:p>
    <w:p>
      <w:pPr>
        <w:snapToGrid w:val="0"/>
        <w:spacing w:line="56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（七）严格按照《报告表》中提出的噪声防治措施，落实隔声、减震、绿化等措施，确保运营期噪声能够达到《工业企业厂界环境噪声排放标准》（</w:t>
      </w:r>
      <w:r>
        <w:rPr>
          <w:rFonts w:ascii="Times New Roman" w:hAnsi="Times New Roman" w:eastAsia="方正楷体_GBK"/>
          <w:sz w:val="32"/>
          <w:szCs w:val="32"/>
        </w:rPr>
        <w:t>GB12348-2008</w:t>
      </w:r>
      <w:r>
        <w:rPr>
          <w:rFonts w:hint="eastAsia" w:ascii="Times New Roman" w:hAnsi="Times New Roman" w:eastAsia="方正楷体_GBK"/>
          <w:sz w:val="32"/>
          <w:szCs w:val="32"/>
        </w:rPr>
        <w:t>）</w:t>
      </w:r>
      <w:r>
        <w:rPr>
          <w:rFonts w:ascii="Times New Roman" w:hAnsi="Times New Roman" w:eastAsia="方正楷体_GBK"/>
          <w:sz w:val="32"/>
          <w:szCs w:val="32"/>
        </w:rPr>
        <w:t>2</w:t>
      </w:r>
      <w:r>
        <w:rPr>
          <w:rFonts w:hint="eastAsia" w:ascii="Times New Roman" w:hAnsi="Times New Roman" w:eastAsia="方正楷体_GBK"/>
          <w:sz w:val="32"/>
          <w:szCs w:val="32"/>
        </w:rPr>
        <w:t>类标准限值。合理安排噪声较大的施工、生产时段，应控制在</w:t>
      </w:r>
      <w:r>
        <w:rPr>
          <w:rFonts w:ascii="Times New Roman" w:hAnsi="Times New Roman" w:eastAsia="方正楷体_GBK"/>
          <w:sz w:val="32"/>
          <w:szCs w:val="32"/>
        </w:rPr>
        <w:t>8</w:t>
      </w:r>
      <w:r>
        <w:rPr>
          <w:rFonts w:hint="eastAsia" w:ascii="Times New Roman" w:hAnsi="Times New Roman" w:eastAsia="方正楷体_GBK"/>
          <w:sz w:val="32"/>
          <w:szCs w:val="32"/>
        </w:rPr>
        <w:t>时</w:t>
      </w:r>
      <w:r>
        <w:rPr>
          <w:rFonts w:ascii="Times New Roman" w:hAnsi="Times New Roman" w:eastAsia="方正楷体_GBK"/>
          <w:sz w:val="32"/>
          <w:szCs w:val="32"/>
        </w:rPr>
        <w:t>-12</w:t>
      </w:r>
      <w:r>
        <w:rPr>
          <w:rFonts w:hint="eastAsia" w:ascii="Times New Roman" w:hAnsi="Times New Roman" w:eastAsia="方正楷体_GBK"/>
          <w:sz w:val="32"/>
          <w:szCs w:val="32"/>
        </w:rPr>
        <w:t>时、</w:t>
      </w:r>
      <w:r>
        <w:rPr>
          <w:rFonts w:ascii="Times New Roman" w:hAnsi="Times New Roman" w:eastAsia="方正楷体_GBK"/>
          <w:sz w:val="32"/>
          <w:szCs w:val="32"/>
        </w:rPr>
        <w:t>14</w:t>
      </w:r>
      <w:r>
        <w:rPr>
          <w:rFonts w:hint="eastAsia" w:ascii="Times New Roman" w:hAnsi="Times New Roman" w:eastAsia="方正楷体_GBK"/>
          <w:sz w:val="32"/>
          <w:szCs w:val="32"/>
        </w:rPr>
        <w:t>时</w:t>
      </w:r>
      <w:r>
        <w:rPr>
          <w:rFonts w:ascii="Times New Roman" w:hAnsi="Times New Roman" w:eastAsia="方正楷体_GBK"/>
          <w:sz w:val="32"/>
          <w:szCs w:val="32"/>
        </w:rPr>
        <w:t>-20</w:t>
      </w:r>
      <w:r>
        <w:rPr>
          <w:rFonts w:hint="eastAsia" w:ascii="Times New Roman" w:hAnsi="Times New Roman" w:eastAsia="方正楷体_GBK"/>
          <w:sz w:val="32"/>
          <w:szCs w:val="32"/>
        </w:rPr>
        <w:t>时的范围内。当由于施工或生产工艺要求或其他原因，必须在午间及夜间休息时段连续作业时，项目单位要在</w:t>
      </w:r>
      <w:r>
        <w:rPr>
          <w:rFonts w:ascii="Times New Roman" w:hAnsi="Times New Roman" w:eastAsia="方正楷体_GBK"/>
          <w:sz w:val="32"/>
          <w:szCs w:val="32"/>
        </w:rPr>
        <w:t>15</w:t>
      </w:r>
      <w:r>
        <w:rPr>
          <w:rFonts w:hint="eastAsia" w:ascii="Times New Roman" w:hAnsi="Times New Roman" w:eastAsia="方正楷体_GBK"/>
          <w:sz w:val="32"/>
          <w:szCs w:val="32"/>
        </w:rPr>
        <w:t>日前向当地环境保护行政主管部门申报，并通报社区居民等相关方，争取得到社区及相关方的认可和谅解。</w:t>
      </w:r>
    </w:p>
    <w:p>
      <w:pPr>
        <w:pStyle w:val="8"/>
        <w:widowControl/>
        <w:shd w:val="clear" w:color="auto" w:fill="FFFFFF"/>
        <w:spacing w:line="360" w:lineRule="auto"/>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（八）</w:t>
      </w:r>
      <w:r>
        <w:rPr>
          <w:rFonts w:hint="eastAsia" w:eastAsia="方正楷体_GBK"/>
          <w:color w:val="000000"/>
          <w:sz w:val="32"/>
          <w:szCs w:val="32"/>
        </w:rPr>
        <w:t>建立健全污染防治设施运行、管理、维护机制，设专人负责各项环保工程设施的运行维护，以及监控污染物产排情况。确保污染防治设施安全稳定运行，各项污染物达标排放，防范环境污染事故发生</w:t>
      </w:r>
      <w:r>
        <w:rPr>
          <w:rFonts w:hint="eastAsia" w:ascii="Times New Roman" w:hAnsi="Times New Roman" w:eastAsia="方正楷体_GBK"/>
          <w:sz w:val="32"/>
          <w:szCs w:val="32"/>
        </w:rPr>
        <w:t>。</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严格按照《报告表》中工艺、规模进行建设，认真落实环保资金的投入，严格按《报告表》提出的环保投资概算执行，认真落实各项环保工程措施；建立健全环境管理工作机制，明确责任人及职责；按报告要求开展施工期与运营期环境监察及环境监测工作。</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项目建成后，根据《建设项目环境保护管理条例》及《建设项目竣工环境保护验收管理办法》等有关规定进行试生产及环境保护竣工验收。试生产前需向环评审批单位报告试生产时间，在试生产期间需完成竣工环境保护验收工作，通过竣工环境保护验收方可投入正式生产运营。</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六、建设项目的性质、规模、地点、采用的生产工艺或者防治污染、防止生态破坏的措施发生重大变动时，建设单位应当重新报批建设项目的环境影响评价文件。</w:t>
      </w:r>
    </w:p>
    <w:p>
      <w:pPr>
        <w:snapToGrid w:val="0"/>
        <w:spacing w:line="560" w:lineRule="exact"/>
        <w:ind w:firstLine="640" w:firstLineChars="200"/>
        <w:jc w:val="right"/>
        <w:rPr>
          <w:rFonts w:ascii="Times New Roman" w:hAnsi="Times New Roman" w:eastAsia="方正仿宋_GBK"/>
          <w:sz w:val="32"/>
          <w:szCs w:val="32"/>
        </w:rPr>
      </w:pPr>
    </w:p>
    <w:p>
      <w:pPr>
        <w:snapToGrid w:val="0"/>
        <w:spacing w:line="560" w:lineRule="exact"/>
        <w:ind w:firstLine="640" w:firstLineChars="200"/>
        <w:jc w:val="right"/>
        <w:rPr>
          <w:rFonts w:ascii="Times New Roman" w:hAnsi="Times New Roman" w:eastAsia="方正仿宋_GBK"/>
          <w:sz w:val="32"/>
          <w:szCs w:val="32"/>
        </w:rPr>
      </w:pPr>
      <w:r>
        <w:rPr>
          <w:rFonts w:ascii="Times New Roman" w:hAnsi="Times New Roman" w:eastAsia="方正仿宋_GBK"/>
          <w:sz w:val="32"/>
          <w:szCs w:val="32"/>
        </w:rPr>
        <w:t>陇川县环境保护局</w:t>
      </w:r>
    </w:p>
    <w:p>
      <w:pPr>
        <w:snapToGrid w:val="0"/>
        <w:spacing w:line="560" w:lineRule="exact"/>
        <w:ind w:firstLine="640" w:firstLineChars="200"/>
        <w:jc w:val="right"/>
        <w:rPr>
          <w:rFonts w:ascii="Times New Roman" w:hAnsi="Times New Roman" w:eastAsia="方正仿宋_GBK"/>
        </w:rPr>
      </w:pPr>
      <w:r>
        <w:rPr>
          <w:rFonts w:ascii="Times New Roman" w:hAnsi="Times New Roman" w:eastAsia="方正仿宋_GBK"/>
          <w:sz w:val="32"/>
          <w:szCs w:val="32"/>
        </w:rPr>
        <w:t>201</w:t>
      </w:r>
      <w:r>
        <w:rPr>
          <w:rFonts w:hint="eastAsia" w:ascii="Times New Roman" w:hAnsi="Times New Roman" w:eastAsia="方正仿宋_GBK"/>
          <w:sz w:val="32"/>
          <w:szCs w:val="32"/>
        </w:rPr>
        <w:t>9</w:t>
      </w:r>
      <w:r>
        <w:rPr>
          <w:rFonts w:ascii="Times New Roman" w:hAnsi="Times New Roman" w:eastAsia="方正仿宋_GBK"/>
          <w:sz w:val="32"/>
          <w:szCs w:val="32"/>
        </w:rPr>
        <w:t>年</w:t>
      </w:r>
      <w:r>
        <w:rPr>
          <w:rFonts w:hint="eastAsia" w:ascii="Times New Roman" w:hAnsi="Times New Roman" w:eastAsia="方正仿宋_GBK"/>
          <w:sz w:val="32"/>
          <w:szCs w:val="32"/>
        </w:rPr>
        <w:t>3</w:t>
      </w:r>
      <w:r>
        <w:rPr>
          <w:rFonts w:ascii="Times New Roman" w:hAnsi="Times New Roman" w:eastAsia="方正仿宋_GBK"/>
          <w:sz w:val="32"/>
          <w:szCs w:val="32"/>
        </w:rPr>
        <w:t>月</w:t>
      </w:r>
      <w:r>
        <w:rPr>
          <w:rFonts w:hint="eastAsia" w:ascii="Times New Roman" w:hAnsi="Times New Roman" w:eastAsia="方正仿宋_GBK"/>
          <w:sz w:val="32"/>
          <w:szCs w:val="32"/>
        </w:rPr>
        <w:t>6</w:t>
      </w:r>
      <w:r>
        <w:rPr>
          <w:rFonts w:ascii="Times New Roman" w:hAnsi="Times New Roman" w:eastAsia="方正仿宋_GBK"/>
          <w:sz w:val="32"/>
          <w:szCs w:val="32"/>
        </w:rPr>
        <w:t>日</w:t>
      </w:r>
    </w:p>
    <w:p>
      <w:pPr>
        <w:snapToGrid w:val="0"/>
        <w:spacing w:line="560" w:lineRule="exact"/>
        <w:jc w:val="both"/>
        <w:rPr>
          <w:rFonts w:hint="eastAsia" w:eastAsia="方正仿宋_GBK"/>
          <w:sz w:val="32"/>
          <w:szCs w:val="32"/>
          <w:lang w:val="en-US" w:eastAsia="zh-CN"/>
        </w:rPr>
      </w:pPr>
      <w:r>
        <w:rPr>
          <w:sz w:val="32"/>
        </w:rPr>
        <mc:AlternateContent>
          <mc:Choice Requires="wps">
            <w:drawing>
              <wp:anchor distT="0" distB="0" distL="114300" distR="114300" simplePos="0" relativeHeight="251656192" behindDoc="1" locked="0" layoutInCell="1" hidden="1" allowOverlap="1">
                <wp:simplePos x="0" y="0"/>
                <wp:positionH relativeFrom="column">
                  <wp:posOffset>-4752340</wp:posOffset>
                </wp:positionH>
                <wp:positionV relativeFrom="paragraph">
                  <wp:posOffset>-7389495</wp:posOffset>
                </wp:positionV>
                <wp:extent cx="15120620" cy="21384260"/>
                <wp:effectExtent l="0" t="0" r="0" b="0"/>
                <wp:wrapNone/>
                <wp:docPr id="3" name="KG_Shd_3"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4.2pt;margin-top:-581.85pt;height:1683.8pt;width:1190.6pt;visibility:hidden;z-index:-251660288;v-text-anchor:middle;mso-width-relative:page;mso-height-relative:page;" fillcolor="#FFFFFF" filled="t" stroked="t" coordsize="21600,21600" o:gfxdata="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ehh1M3AAAABABAAAPAAAAAAAAAAEAIAAAACIAAABkcnMvZG93bnJldi54&#10;bWxQSwECFAAUAAAACACHTuJAeF+wTm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8" name="KG_Shd_5"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5" o:spid="_x0000_s1026" o:spt="1" style="position:absolute;left:0pt;margin-left:-297.65pt;margin-top:-420.95pt;height:1683.8pt;width:1190.6pt;visibility:hidden;z-index:-251658240;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LJeBfZ&#10;AAAADwEAAA8AAAAAAAAAAQAgAAAAIgAAAGRycy9kb3ducmV2LnhtbFBLAQIUABQAAAAIAIdO4kBs&#10;1InZ5gEAABgEAAAOAAAAAAAAAAEAIAAAACgBAABkcnMvZTJvRG9jLnhtbFBLBQYAAAAABgAGAFkB&#10;AACABQAAAAA=&#10;">
                <v:fill on="t" opacity="0f" focussize="0,0"/>
                <v:stroke color="#FFFFFF" opacity="0f" joinstyle="miter"/>
                <v:imagedata o:title=""/>
                <o:lock v:ext="edit" aspectratio="f"/>
              </v:rect>
            </w:pict>
          </mc:Fallback>
        </mc:AlternateContent>
      </w:r>
      <w:r>
        <w:rPr>
          <w:sz w:val="32"/>
        </w:rPr>
        <mc:AlternateContent>
          <mc:Choice Requires="wps">
            <w:drawing>
              <wp:anchor distT="0" distB="0" distL="114300" distR="114300" simplePos="0" relativeHeight="251657216"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7" name="KG_Shd_4"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4" o:spid="_x0000_s1026" o:spt="1" style="position:absolute;left:0pt;margin-left:-297.65pt;margin-top:-420.95pt;height:1683.8pt;width:1190.6pt;visibility:hidden;z-index:-251659264;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sl4&#10;F9kAAAAPAQAADwAAAAAAAAABACAAAAAiAAAAZHJzL2Rvd25yZXYueG1sUEsBAhQAFAAAAAgAh07i&#10;QCfazBDoAQAAGAQAAA4AAAAAAAAAAQAgAAAAKAEAAGRycy9lMm9Eb2MueG1sUEsFBgAAAAAGAAYA&#10;WQEAAIIFAAAAAA==&#10;">
                <v:fill on="t" opacity="0f" focussize="0,0"/>
                <v:stroke color="#FFFFFF" opacity="0f" joinstyle="miter"/>
                <v:imagedata o:title=""/>
                <o:lock v:ext="edit" aspectratio="f"/>
              </v:rect>
            </w:pict>
          </mc:Fallback>
        </mc:AlternateContent>
      </w:r>
      <w:r>
        <w:rPr>
          <w:rFonts w:hint="eastAsia" w:eastAsia="方正仿宋_GBK"/>
          <w:sz w:val="32"/>
          <w:szCs w:val="32"/>
          <w:lang w:val="en-US" w:eastAsia="zh-CN"/>
        </w:rPr>
        <w:t xml:space="preserve">                                  </w:t>
      </w:r>
    </w:p>
    <w:p>
      <w:pPr>
        <w:snapToGrid w:val="0"/>
        <w:spacing w:line="560" w:lineRule="exact"/>
        <w:jc w:val="right"/>
        <w:rPr>
          <w:rFonts w:eastAsia="方正仿宋_GBK"/>
          <w:color w:val="000000"/>
          <w:sz w:val="32"/>
          <w:szCs w:val="32"/>
        </w:rPr>
      </w:pPr>
    </w:p>
    <w:p>
      <w:pPr>
        <w:snapToGrid w:val="0"/>
        <w:spacing w:line="560" w:lineRule="exact"/>
        <w:jc w:val="both"/>
        <w:rPr>
          <w:rFonts w:hint="eastAsia" w:eastAsia="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eastAsia="方正仿宋_GBK"/>
          <w:color w:val="000000"/>
          <w:sz w:val="32"/>
          <w:szCs w:val="32"/>
          <w:lang w:eastAsia="zh-CN"/>
        </w:rPr>
      </w:pPr>
      <w:r>
        <w:rPr>
          <w:rFonts w:hint="eastAsia" w:eastAsia="方正仿宋_GBK"/>
          <w:color w:val="000000"/>
          <w:sz w:val="32"/>
          <w:szCs w:val="32"/>
          <w:lang w:eastAsia="zh-CN"/>
        </w:rPr>
        <w:t>（此件公开发布）</w:t>
      </w:r>
    </w:p>
    <w:p>
      <w:pPr>
        <w:spacing w:line="520" w:lineRule="exact"/>
        <w:rPr>
          <w:rFonts w:hint="eastAsia" w:ascii="方正仿宋_GBK" w:eastAsia="方正仿宋_GBK"/>
          <w:sz w:val="32"/>
          <w:szCs w:val="32"/>
        </w:rPr>
      </w:pPr>
    </w:p>
    <w:p>
      <w:pPr>
        <w:spacing w:line="520" w:lineRule="exact"/>
        <w:rPr>
          <w:rFonts w:hint="eastAsia" w:ascii="方正仿宋_GBK" w:eastAsia="方正仿宋_GBK"/>
          <w:sz w:val="32"/>
          <w:szCs w:val="32"/>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w:t>
      </w:r>
      <w:r>
        <w:rPr>
          <w:rFonts w:hint="default" w:ascii="Times New Roman" w:hAnsi="Times New Roman" w:eastAsia="仿宋_GB2312" w:cs="Times New Roman"/>
        </w:rPr>
        <w:t>201</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3</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6</w:t>
      </w:r>
      <w:r>
        <w:rPr>
          <w:rFonts w:hint="default" w:ascii="Times New Roman" w:hAnsi="Times New Roman" w:eastAsia="仿宋_GB2312" w:cs="Times New Roman"/>
        </w:rPr>
        <w:t>日</w:t>
      </w:r>
      <w:r>
        <w:rPr>
          <w:rFonts w:eastAsia="仿宋_GB2312"/>
        </w:rPr>
        <w:t>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D614463-A759-4CD8-98D6-173E39D4554A}"/>
    <w:docVar w:name="DocumentName" w:val="陇环发〔2019〕16号陇川县环境保护局关于对陇川糖果加工生产线建设项目环境影响报告表的批复"/>
  </w:docVars>
  <w:rsids>
    <w:rsidRoot w:val="553E59FE"/>
    <w:rsid w:val="0CF346A9"/>
    <w:rsid w:val="0DA36936"/>
    <w:rsid w:val="11954A0F"/>
    <w:rsid w:val="269D793A"/>
    <w:rsid w:val="2920587B"/>
    <w:rsid w:val="536A3090"/>
    <w:rsid w:val="553E59FE"/>
    <w:rsid w:val="62FD4A67"/>
    <w:rsid w:val="6B6534FF"/>
    <w:rsid w:val="6F2764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Normal (Web)"/>
    <w:basedOn w:val="1"/>
    <w:qFormat/>
    <w:uiPriority w:val="0"/>
    <w:rPr>
      <w:sz w:val="24"/>
    </w:rPr>
  </w:style>
  <w:style w:type="character" w:customStyle="1" w:styleId="9">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4</Pages>
  <Words>1567</Words>
  <Characters>1665</Characters>
  <Lines>0</Lines>
  <Paragraphs>0</Paragraphs>
  <ScaleCrop>false</ScaleCrop>
  <LinksUpToDate>false</LinksUpToDate>
  <CharactersWithSpaces>1718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Administrator</cp:lastModifiedBy>
  <dcterms:modified xsi:type="dcterms:W3CDTF">2019-08-26T03:14:11Z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