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spacing w:line="300" w:lineRule="exact"/>
        <w:rPr>
          <w:rFonts w:hint="eastAsia"/>
          <w:sz w:val="32"/>
          <w:szCs w:val="32"/>
        </w:rPr>
      </w:pPr>
    </w:p>
    <w:p>
      <w:pPr>
        <w:spacing w:line="300" w:lineRule="exact"/>
        <w:rPr>
          <w:rFonts w:hint="eastAsia"/>
          <w:sz w:val="32"/>
          <w:szCs w:val="32"/>
        </w:rPr>
      </w:pPr>
    </w:p>
    <w:p>
      <w:pPr>
        <w:tabs>
          <w:tab w:val="left" w:pos="6720"/>
        </w:tabs>
        <w:ind w:firstLine="480" w:firstLineChars="150"/>
        <w:jc w:val="center"/>
        <w:rPr>
          <w:rFonts w:hint="eastAsia" w:eastAsia="方正仿宋_GBK"/>
          <w:sz w:val="32"/>
          <w:szCs w:val="32"/>
        </w:rPr>
      </w:pPr>
      <w:r>
        <w:rPr>
          <w:rFonts w:eastAsia="方正仿宋_GBK"/>
          <w:sz w:val="32"/>
          <w:szCs w:val="32"/>
        </w:rPr>
        <w:t>陇</w:t>
      </w:r>
      <w:r>
        <w:rPr>
          <w:rFonts w:hint="eastAsia" w:eastAsia="方正仿宋_GBK"/>
          <w:sz w:val="32"/>
          <w:szCs w:val="32"/>
        </w:rPr>
        <w:t>环</w:t>
      </w:r>
      <w:r>
        <w:rPr>
          <w:rFonts w:eastAsia="方正仿宋_GBK"/>
          <w:sz w:val="32"/>
          <w:szCs w:val="32"/>
        </w:rPr>
        <w:t>发</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28</w:t>
      </w:r>
      <w:bookmarkStart w:id="0" w:name="_GoBack"/>
      <w:bookmarkEnd w:id="0"/>
      <w:r>
        <w:rPr>
          <w:rFonts w:eastAsia="方正仿宋_GBK"/>
          <w:sz w:val="32"/>
          <w:szCs w:val="32"/>
        </w:rPr>
        <w:t>号</w:t>
      </w:r>
    </w:p>
    <w:p>
      <w:pPr>
        <w:snapToGrid w:val="0"/>
        <w:spacing w:line="600" w:lineRule="exact"/>
        <w:jc w:val="center"/>
        <w:rPr>
          <w:rFonts w:eastAsia="方正小标宋_GBK"/>
          <w:sz w:val="44"/>
          <w:szCs w:val="44"/>
        </w:rPr>
      </w:pPr>
    </w:p>
    <w:p>
      <w:pPr>
        <w:keepNext w:val="0"/>
        <w:keepLines w:val="0"/>
        <w:pageBreakBefore w:val="0"/>
        <w:widowControl w:val="0"/>
        <w:kinsoku/>
        <w:wordWrap/>
        <w:overflowPunct/>
        <w:topLinePunct w:val="0"/>
        <w:autoSpaceDE/>
        <w:autoSpaceDN/>
        <w:bidi w:val="0"/>
        <w:snapToGrid w:val="0"/>
        <w:spacing w:line="560" w:lineRule="exact"/>
        <w:ind w:left="0" w:leftChars="0" w:right="0" w:rightChars="0"/>
        <w:jc w:val="center"/>
        <w:textAlignment w:val="auto"/>
        <w:outlineLvl w:val="9"/>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陇川县环境保护局关于对陇川县景罕</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jc w:val="center"/>
        <w:textAlignment w:val="auto"/>
        <w:outlineLvl w:val="9"/>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尹宋河采石场改扩建项目环境</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jc w:val="center"/>
        <w:textAlignment w:val="auto"/>
        <w:outlineLvl w:val="9"/>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影响报告表的批复</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jc w:val="both"/>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snapToGrid w:val="0"/>
        <w:spacing w:line="560" w:lineRule="exact"/>
        <w:ind w:left="0" w:leftChars="0" w:right="0" w:rightChars="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陇川县景罕尹宋河采石场：</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你单位报批的《陇川县景罕尹宋河采石场改扩建项目环境影响报告表》（报批稿）已收悉，结合2018年10月21日技术审查结果，经我局认真审阅《报告表》（报批稿），现批复如下：</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jc w:val="both"/>
        <w:textAlignment w:val="auto"/>
        <w:outlineLvl w:val="9"/>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一、项目工程概况及背景</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陇川县景罕尹宋河采石场改扩建项目，位于陇川县景罕镇曼面村委会尹宋小组，矿区面积0.0204km</w:t>
      </w:r>
      <w:r>
        <w:rPr>
          <w:rFonts w:hint="default" w:ascii="Times New Roman" w:hAnsi="Times New Roman" w:eastAsia="方正仿宋_GBK" w:cs="Times New Roman"/>
          <w:color w:val="auto"/>
          <w:sz w:val="32"/>
          <w:szCs w:val="32"/>
          <w:vertAlign w:val="superscript"/>
        </w:rPr>
        <w:t>2</w:t>
      </w:r>
      <w:r>
        <w:rPr>
          <w:rFonts w:hint="default" w:ascii="Times New Roman" w:hAnsi="Times New Roman" w:eastAsia="方正仿宋_GBK" w:cs="Times New Roman"/>
          <w:color w:val="auto"/>
          <w:sz w:val="32"/>
          <w:szCs w:val="32"/>
        </w:rPr>
        <w:t>，项目中心地理位置坐标为东经97°52′03″、北纬24°11′04″。项目总投资500万元，环保投资36.4万元。</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建设项目主体工程有露天开采，自上而下分台阶开采；生产线采用三线联合式破碎工艺，新扩建矿山土方剥离工程量1.6万m</w:t>
      </w:r>
      <w:r>
        <w:rPr>
          <w:rFonts w:hint="default" w:ascii="Times New Roman" w:hAnsi="Times New Roman" w:eastAsia="方正仿宋_GBK" w:cs="Times New Roman"/>
          <w:color w:val="auto"/>
          <w:sz w:val="32"/>
          <w:szCs w:val="32"/>
          <w:vertAlign w:val="superscript"/>
        </w:rPr>
        <w:t>3</w:t>
      </w:r>
      <w:r>
        <w:rPr>
          <w:rFonts w:hint="default" w:ascii="Times New Roman" w:hAnsi="Times New Roman" w:eastAsia="方正仿宋_GBK" w:cs="Times New Roman"/>
          <w:color w:val="auto"/>
          <w:sz w:val="32"/>
          <w:szCs w:val="32"/>
        </w:rPr>
        <w:t>，主要为覆盖在矿体上的表土；开挖451m矿山开拓公路；扩建加工车间788.42m</w:t>
      </w:r>
      <w:r>
        <w:rPr>
          <w:rFonts w:hint="default" w:ascii="Times New Roman" w:hAnsi="Times New Roman" w:eastAsia="方正仿宋_GBK" w:cs="Times New Roman"/>
          <w:color w:val="auto"/>
          <w:sz w:val="32"/>
          <w:szCs w:val="32"/>
          <w:vertAlign w:val="superscript"/>
        </w:rPr>
        <w:t>2</w:t>
      </w:r>
      <w:r>
        <w:rPr>
          <w:rFonts w:hint="default" w:ascii="Times New Roman" w:hAnsi="Times New Roman" w:eastAsia="方正仿宋_GBK" w:cs="Times New Roman"/>
          <w:color w:val="auto"/>
          <w:sz w:val="32"/>
          <w:szCs w:val="32"/>
        </w:rPr>
        <w:t>。辅助工程有</w:t>
      </w:r>
      <w:r>
        <w:rPr>
          <w:rFonts w:hint="default" w:ascii="Times New Roman" w:hAnsi="Times New Roman" w:eastAsia="方正仿宋_GBK" w:cs="Times New Roman"/>
          <w:color w:val="auto"/>
          <w:kern w:val="0"/>
          <w:sz w:val="32"/>
          <w:szCs w:val="32"/>
        </w:rPr>
        <w:t>矿区生产加工用电由柴油发电机发电提供，生活用电由南方电网提供生活办公区（含职工办公室、宿舍、食堂），高位水池（采石场南面，容积为20</w:t>
      </w:r>
      <w:r>
        <w:rPr>
          <w:rFonts w:hint="default" w:ascii="Times New Roman" w:hAnsi="Times New Roman" w:eastAsia="方正仿宋_GBK" w:cs="Times New Roman"/>
          <w:color w:val="auto"/>
          <w:sz w:val="32"/>
          <w:szCs w:val="32"/>
        </w:rPr>
        <w:t>m</w:t>
      </w:r>
      <w:r>
        <w:rPr>
          <w:rFonts w:hint="default" w:ascii="Times New Roman" w:hAnsi="Times New Roman" w:eastAsia="方正仿宋_GBK" w:cs="Times New Roman"/>
          <w:color w:val="auto"/>
          <w:sz w:val="32"/>
          <w:szCs w:val="32"/>
          <w:vertAlign w:val="superscript"/>
        </w:rPr>
        <w:t>3</w:t>
      </w:r>
      <w:r>
        <w:rPr>
          <w:rFonts w:hint="default" w:ascii="Times New Roman" w:hAnsi="Times New Roman" w:eastAsia="方正仿宋_GBK" w:cs="Times New Roman"/>
          <w:color w:val="auto"/>
          <w:kern w:val="0"/>
          <w:sz w:val="32"/>
          <w:szCs w:val="32"/>
        </w:rPr>
        <w:t>），库房等其他辅助设施，建筑面积约650</w:t>
      </w:r>
      <w:r>
        <w:rPr>
          <w:rFonts w:hint="default" w:ascii="Times New Roman" w:hAnsi="Times New Roman" w:eastAsia="方正仿宋_GBK" w:cs="Times New Roman"/>
          <w:color w:val="auto"/>
          <w:sz w:val="32"/>
          <w:szCs w:val="32"/>
        </w:rPr>
        <w:t>m</w:t>
      </w:r>
      <w:r>
        <w:rPr>
          <w:rFonts w:hint="default" w:ascii="Times New Roman" w:hAnsi="Times New Roman" w:eastAsia="方正仿宋_GBK" w:cs="Times New Roman"/>
          <w:color w:val="auto"/>
          <w:sz w:val="32"/>
          <w:szCs w:val="32"/>
          <w:vertAlign w:val="superscript"/>
        </w:rPr>
        <w:t>2</w:t>
      </w:r>
      <w:r>
        <w:rPr>
          <w:rFonts w:hint="default" w:ascii="Times New Roman" w:hAnsi="Times New Roman" w:eastAsia="方正仿宋_GBK" w:cs="Times New Roman"/>
          <w:color w:val="auto"/>
          <w:sz w:val="32"/>
          <w:szCs w:val="32"/>
        </w:rPr>
        <w:t>。公用工程有给水系统、排水系统。环保工程有</w:t>
      </w:r>
      <w:r>
        <w:rPr>
          <w:rFonts w:hint="default" w:ascii="Times New Roman" w:hAnsi="Times New Roman" w:eastAsia="方正仿宋_GBK" w:cs="Times New Roman"/>
          <w:color w:val="auto"/>
          <w:kern w:val="0"/>
          <w:sz w:val="32"/>
          <w:szCs w:val="32"/>
        </w:rPr>
        <w:t>3m</w:t>
      </w:r>
      <w:r>
        <w:rPr>
          <w:rFonts w:hint="default" w:ascii="Times New Roman" w:hAnsi="Times New Roman" w:eastAsia="方正仿宋_GBK" w:cs="Times New Roman"/>
          <w:color w:val="auto"/>
          <w:kern w:val="0"/>
          <w:sz w:val="32"/>
          <w:szCs w:val="32"/>
          <w:vertAlign w:val="superscript"/>
        </w:rPr>
        <w:t>3</w:t>
      </w:r>
      <w:r>
        <w:rPr>
          <w:rFonts w:hint="default" w:ascii="Times New Roman" w:hAnsi="Times New Roman" w:eastAsia="方正仿宋_GBK" w:cs="Times New Roman"/>
          <w:color w:val="auto"/>
          <w:kern w:val="0"/>
          <w:sz w:val="32"/>
          <w:szCs w:val="32"/>
        </w:rPr>
        <w:t>化粪池1个、1m</w:t>
      </w:r>
      <w:r>
        <w:rPr>
          <w:rFonts w:hint="default" w:ascii="Times New Roman" w:hAnsi="Times New Roman" w:eastAsia="方正仿宋_GBK" w:cs="Times New Roman"/>
          <w:color w:val="auto"/>
          <w:kern w:val="0"/>
          <w:sz w:val="32"/>
          <w:szCs w:val="32"/>
          <w:vertAlign w:val="superscript"/>
        </w:rPr>
        <w:t>3</w:t>
      </w:r>
      <w:r>
        <w:rPr>
          <w:rFonts w:hint="default" w:ascii="Times New Roman" w:hAnsi="Times New Roman" w:eastAsia="方正仿宋_GBK" w:cs="Times New Roman"/>
          <w:color w:val="auto"/>
          <w:kern w:val="0"/>
          <w:sz w:val="32"/>
          <w:szCs w:val="32"/>
        </w:rPr>
        <w:t>隔油池1个、</w:t>
      </w:r>
      <w:r>
        <w:rPr>
          <w:rFonts w:hint="default" w:ascii="Times New Roman" w:hAnsi="Times New Roman" w:eastAsia="方正仿宋_GBK" w:cs="Times New Roman"/>
          <w:color w:val="auto"/>
          <w:sz w:val="32"/>
          <w:szCs w:val="32"/>
        </w:rPr>
        <w:t>6m</w:t>
      </w:r>
      <w:r>
        <w:rPr>
          <w:rFonts w:hint="default" w:ascii="Times New Roman" w:hAnsi="Times New Roman" w:eastAsia="方正仿宋_GBK" w:cs="Times New Roman"/>
          <w:color w:val="auto"/>
          <w:sz w:val="32"/>
          <w:szCs w:val="32"/>
          <w:vertAlign w:val="superscript"/>
        </w:rPr>
        <w:t>3</w:t>
      </w:r>
      <w:r>
        <w:rPr>
          <w:rFonts w:hint="default" w:ascii="Times New Roman" w:hAnsi="Times New Roman" w:eastAsia="方正仿宋_GBK" w:cs="Times New Roman"/>
          <w:color w:val="auto"/>
          <w:sz w:val="32"/>
          <w:szCs w:val="32"/>
        </w:rPr>
        <w:t>污水收集池1个、</w:t>
      </w:r>
      <w:r>
        <w:rPr>
          <w:rFonts w:hint="default" w:ascii="Times New Roman" w:hAnsi="Times New Roman" w:eastAsia="方正仿宋_GBK" w:cs="Times New Roman"/>
          <w:color w:val="auto"/>
          <w:kern w:val="0"/>
          <w:sz w:val="32"/>
          <w:szCs w:val="32"/>
        </w:rPr>
        <w:t>15m</w:t>
      </w:r>
      <w:r>
        <w:rPr>
          <w:rFonts w:hint="default" w:ascii="Times New Roman" w:hAnsi="Times New Roman" w:eastAsia="方正仿宋_GBK" w:cs="Times New Roman"/>
          <w:color w:val="auto"/>
          <w:kern w:val="0"/>
          <w:sz w:val="32"/>
          <w:szCs w:val="32"/>
          <w:vertAlign w:val="superscript"/>
        </w:rPr>
        <w:t>2</w:t>
      </w:r>
      <w:r>
        <w:rPr>
          <w:rFonts w:hint="default" w:ascii="Times New Roman" w:hAnsi="Times New Roman" w:eastAsia="方正仿宋_GBK" w:cs="Times New Roman"/>
          <w:color w:val="auto"/>
          <w:kern w:val="0"/>
          <w:sz w:val="32"/>
          <w:szCs w:val="32"/>
        </w:rPr>
        <w:t>危废暂存间1间；除尘措施，在破碎机进料口设置喷雾洒水除尘设施，对皮带传送下料口加装布套减小物料下落落差产生扬尘，加强绿化隔离带的种植；噪声处理措施，项目拟在产噪设备中设置减震垫等隔音设施。</w:t>
      </w:r>
      <w:r>
        <w:rPr>
          <w:rFonts w:hint="default" w:ascii="Times New Roman" w:hAnsi="Times New Roman" w:eastAsia="方正仿宋_GBK" w:cs="Times New Roman"/>
          <w:color w:val="auto"/>
          <w:sz w:val="32"/>
          <w:szCs w:val="32"/>
        </w:rPr>
        <w:t>其中部分工程依托原有项目。</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项目主要由采矿区、碎石站、生活区、排土场等几个部分组成，采矿区面积由原来的0.0165平方千米调整为0.0204平方千米、开采标高由原来的1100—1040米调整为1150—1080米，碎石站、生活区和排土场位置均与原设计一致不变。采矿区位于整个项目区的南部，为不规则的方形；碎石站位于采矿区的东北侧，占地面积为0.02hm</w:t>
      </w:r>
      <w:r>
        <w:rPr>
          <w:rFonts w:hint="default" w:ascii="Times New Roman" w:hAnsi="Times New Roman" w:eastAsia="方正仿宋_GBK" w:cs="Times New Roman"/>
          <w:color w:val="auto"/>
          <w:sz w:val="32"/>
          <w:szCs w:val="32"/>
          <w:vertAlign w:val="superscript"/>
        </w:rPr>
        <w:t>2</w:t>
      </w:r>
      <w:r>
        <w:rPr>
          <w:rFonts w:hint="default" w:ascii="Times New Roman" w:hAnsi="Times New Roman" w:eastAsia="方正仿宋_GBK" w:cs="Times New Roman"/>
          <w:color w:val="auto"/>
          <w:sz w:val="32"/>
          <w:szCs w:val="32"/>
        </w:rPr>
        <w:t>，其中心坐标为东经97°54′11″、北纬24°11′22″；生活区位于项目北部，占地面积为0.02hm</w:t>
      </w:r>
      <w:r>
        <w:rPr>
          <w:rFonts w:hint="default" w:ascii="Times New Roman" w:hAnsi="Times New Roman" w:eastAsia="方正仿宋_GBK" w:cs="Times New Roman"/>
          <w:color w:val="auto"/>
          <w:sz w:val="32"/>
          <w:szCs w:val="32"/>
          <w:vertAlign w:val="superscript"/>
        </w:rPr>
        <w:t>2</w:t>
      </w:r>
      <w:r>
        <w:rPr>
          <w:rFonts w:hint="default" w:ascii="Times New Roman" w:hAnsi="Times New Roman" w:eastAsia="方正仿宋_GBK" w:cs="Times New Roman"/>
          <w:color w:val="auto"/>
          <w:sz w:val="32"/>
          <w:szCs w:val="32"/>
        </w:rPr>
        <w:t>，其中心位置坐标为东经97°52′10.11″、北纬24°12′03.27″；排土场位于项目区的中间，采矿区的西北部，用于堆放弃渣等，占地面积为0.02hm</w:t>
      </w:r>
      <w:r>
        <w:rPr>
          <w:rFonts w:hint="default" w:ascii="Times New Roman" w:hAnsi="Times New Roman" w:eastAsia="方正仿宋_GBK" w:cs="Times New Roman"/>
          <w:color w:val="auto"/>
          <w:sz w:val="32"/>
          <w:szCs w:val="32"/>
          <w:vertAlign w:val="superscript"/>
        </w:rPr>
        <w:t>2</w:t>
      </w:r>
      <w:r>
        <w:rPr>
          <w:rFonts w:hint="default" w:ascii="Times New Roman" w:hAnsi="Times New Roman" w:eastAsia="方正仿宋_GBK" w:cs="Times New Roman"/>
          <w:color w:val="auto"/>
          <w:sz w:val="32"/>
          <w:szCs w:val="32"/>
        </w:rPr>
        <w:t>，其中心位置坐标为东经97°51′11.05″、北纬24°11′38.96″。</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项目原采矿许可证号为C5331242014127130136863，根据《陇川县人民政府关于印发陇川县促进非煤矿山转型升级的实施方案的通知》（陇政发﹝2015﹞111号）文件要求实施转型升级，将矿山开采规模提升为10万吨/年（即4万立方米/年），服务年限为8年(包含基建时间)。建设单位于2017年9月28日取得了陇川县发展和改革局关于该采石场转型升级资料已评审通过的证明， 2017年6月15日取得了陇川县发展和改革局投资项目备案证（陇发改备案﹝2017﹞22号），2017年9月27日取得了陇川县国土资源局关于该采石场转型升级资料已评审通过的证明。</w:t>
      </w:r>
    </w:p>
    <w:p>
      <w:pPr>
        <w:keepNext w:val="0"/>
        <w:keepLines w:val="0"/>
        <w:pageBreakBefore w:val="0"/>
        <w:widowControl w:val="0"/>
        <w:kinsoku/>
        <w:wordWrap/>
        <w:overflowPunct/>
        <w:topLinePunct w:val="0"/>
        <w:autoSpaceDE/>
        <w:autoSpaceDN/>
        <w:bidi w:val="0"/>
        <w:spacing w:line="560" w:lineRule="exact"/>
        <w:ind w:left="0" w:leftChars="0" w:right="0" w:rightChars="0" w:firstLine="643" w:firstLineChars="200"/>
        <w:jc w:val="both"/>
        <w:textAlignment w:val="auto"/>
        <w:outlineLvl w:val="9"/>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b/>
          <w:color w:val="auto"/>
          <w:sz w:val="32"/>
          <w:szCs w:val="32"/>
        </w:rPr>
        <w:t>二、</w:t>
      </w:r>
      <w:r>
        <w:rPr>
          <w:rFonts w:hint="default" w:ascii="Times New Roman" w:hAnsi="Times New Roman" w:eastAsia="方正黑体_GBK" w:cs="Times New Roman"/>
          <w:color w:val="auto"/>
          <w:sz w:val="32"/>
          <w:szCs w:val="32"/>
        </w:rPr>
        <w:t>审批意见</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该项目符合国家产业政策，《报告表》中的工程概况介绍清楚，项目分析与环境影响源的识别基本上反映了项目特性，基本阐明了项目环保工程的合理性。据环评单位调查及项目单位反馈该项目不涉及生态红线、自然保护区、风景名胜区、水源地、生态敏感区和军事设施，没有珍稀濒危保护动植物分布，未发现文物古迹、名木古树等重要保护单位。经我局研究，同意该项目按照《报告表》中的性质、规模、地点、工艺和环境保护对策进行建设。</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三、项目建设及运营过程中应重点做好的工作</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（一）落实好雨污分流、清污分流工程，生产废水及生活污水分类收集处置后，综合利用不得直接外排，旱厕定期清掏，严格管控流经矿区的河流沟渠的水质状况。</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（二）破碎及钻孔等工序要采取喷淋等抑尘措施，操作人员等要按安监等部门要求采取相应的粉尘防护措施。</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（三）适当控制爆破等高噪声工序的作业时间段，加强运输管理，降低车辆噪声影响 。</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四）采取剥离弃土造地复垦一体化方案，对采空区要及时、有效的进行植被恢复或复垦，将剥离弃土及时运出回填于采空区，做到边开采边恢复，使采场生态环境得到最快恢复。闭矿后要及时封场并覆土复垦或恢复植被。</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（五）生活垃圾集中收集、分类处理，废油等危险废物暂存于危废间，委托有相应处置资质的单位妥善处置。</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（六）开采要符合相关部门规划，不得超出国土等部门划定的范围（包括平面范围和标高范围等）。</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（七）建立健全突发环境事件应急预案等环境管理机制，严格按照安监等部门的要求进行开采作业，严格执行水土保持方案及地质灾害评估报告等相关要求，认真落实、完善相关防治工程措施。</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八）加强宣传提高员工安全生产、生态环境保护等意识，规范生产生活中的行为，杜绝盗伐林木、猎杀野生动植物的现象。倡导建设绿色文明场区，建议科学配置垃圾收集设施，宣传鼓励员工从源头进行垃圾分类；建议设置防雨防渗的废电池永久收储设施，要求员工定点丢弃废旧电池。</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严格按照《报告表》中工艺、规模进行建设，认真落实环保资金的投入，严格按《报告表》提出的环保投资概算执行，认真落实各项环保工程措施；建立健全环境管理工作机制，明确责任人及职责；按报告要求开展施工期与运营期环境监察及环境监测工作。</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五、项目建成后，根据《建设项目环境保护管理条例》及《建设项目竣工环境保护验收管理办法》等有关规定进行试运行及环境保护竣工验收。试运行前需向环评审批单位报告试运行时间，在试运行期间需完成竣工环境保护验收工作，通过竣工环境保护验收方可投入正式运营。</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六、建设项目的性质、规模、地点、采用的生产工艺或者防治污染、防止生态破坏的措施发生重大变动时，建设单位应当重新报批建设项目的环境影响评价文件。</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default" w:ascii="Times New Roman" w:hAnsi="Times New Roman" w:eastAsia="方正黑体_GBK" w:cs="Times New Roman"/>
          <w:color w:val="auto"/>
          <w:sz w:val="32"/>
          <w:szCs w:val="32"/>
        </w:rPr>
      </w:pP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jc w:val="right"/>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陇川县环境保护局</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jc w:val="right"/>
        <w:textAlignment w:val="auto"/>
        <w:outlineLvl w:val="9"/>
        <w:rPr>
          <w:rFonts w:hint="default" w:ascii="Times New Roman" w:hAnsi="Times New Roman" w:cs="Times New Roman"/>
          <w:color w:val="auto"/>
        </w:rPr>
      </w:pPr>
      <w:r>
        <w:rPr>
          <w:rFonts w:hint="default" w:ascii="Times New Roman" w:hAnsi="Times New Roman" w:eastAsia="方正仿宋_GBK" w:cs="Times New Roman"/>
          <w:color w:val="auto"/>
          <w:sz w:val="32"/>
          <w:szCs w:val="32"/>
        </w:rPr>
        <w:t>2019年4月15日</w:t>
      </w:r>
    </w:p>
    <w:p>
      <w:pPr>
        <w:keepNext w:val="0"/>
        <w:keepLines w:val="0"/>
        <w:pageBreakBefore w:val="0"/>
        <w:widowControl w:val="0"/>
        <w:kinsoku/>
        <w:wordWrap/>
        <w:overflowPunct/>
        <w:topLinePunct w:val="0"/>
        <w:autoSpaceDE/>
        <w:autoSpaceDN/>
        <w:bidi w:val="0"/>
        <w:spacing w:line="560" w:lineRule="exact"/>
        <w:ind w:left="0" w:leftChars="0" w:right="0" w:rightChars="0" w:firstLine="420"/>
        <w:jc w:val="both"/>
        <w:textAlignment w:val="auto"/>
        <w:outlineLvl w:val="9"/>
        <w:rPr>
          <w:rFonts w:hint="default" w:ascii="Times New Roman" w:hAnsi="Times New Roman" w:cs="Times New Roman"/>
          <w:color w:val="auto"/>
        </w:rPr>
      </w:pPr>
    </w:p>
    <w:p>
      <w:pPr>
        <w:spacing w:line="520" w:lineRule="exact"/>
        <w:rPr>
          <w:rFonts w:hint="eastAsia" w:ascii="方正仿宋_GBK" w:eastAsia="方正仿宋_GBK"/>
          <w:sz w:val="32"/>
          <w:szCs w:val="32"/>
        </w:rPr>
      </w:pPr>
    </w:p>
    <w:p>
      <w:pPr>
        <w:pStyle w:val="2"/>
        <w:rPr>
          <w:rFonts w:hint="eastAsia" w:ascii="方正仿宋_GBK" w:eastAsia="方正仿宋_GBK"/>
          <w:sz w:val="32"/>
          <w:szCs w:val="32"/>
        </w:rPr>
      </w:pPr>
    </w:p>
    <w:p>
      <w:pPr>
        <w:spacing w:line="520" w:lineRule="exact"/>
        <w:rPr>
          <w:rFonts w:hint="eastAsia" w:ascii="方正仿宋_GBK" w:eastAsia="方正仿宋_GBK"/>
          <w:sz w:val="32"/>
          <w:szCs w:val="32"/>
        </w:rPr>
      </w:pPr>
      <w:r>
        <w:rPr>
          <w:rFonts w:ascii="方正小标宋简体" w:eastAsia="方正小标宋简体"/>
          <w:sz w:val="32"/>
          <w:szCs w:val="32"/>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343535</wp:posOffset>
                </wp:positionV>
                <wp:extent cx="5760085" cy="0"/>
                <wp:effectExtent l="0" t="0" r="0" b="0"/>
                <wp:wrapSquare wrapText="bothSides"/>
                <wp:docPr id="4" name="直线 7"/>
                <wp:cNvGraphicFramePr/>
                <a:graphic xmlns:a="http://schemas.openxmlformats.org/drawingml/2006/main">
                  <a:graphicData uri="http://schemas.microsoft.com/office/word/2010/wordprocessingShape">
                    <wps:wsp>
                      <wps:cNvCnPr/>
                      <wps:spPr>
                        <a:xfrm>
                          <a:off x="0" y="0"/>
                          <a:ext cx="57600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top:27.05pt;height:0pt;width:453.55pt;mso-position-horizontal:center;mso-wrap-distance-bottom:0pt;mso-wrap-distance-left:9pt;mso-wrap-distance-right:9pt;mso-wrap-distance-top:0pt;z-index:251661312;mso-width-relative:page;mso-height-relative:page;" filled="f" stroked="t" coordsize="21600,21600" o:gfxdata="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tXYd51AAAAAYBAAAPAAAAAAAAAAEAIAAAACIAAABkcnMv&#10;ZG93bnJldi54bWxQSwECFAAUAAAACACHTuJAL6VOnM4BAACNAwAADgAAAAAAAAABACAAAAAjAQAA&#10;ZHJzL2Uyb0RvYy54bWxQSwUGAAAAAAYABgBZAQAAYwUAAAAA&#10;">
                <v:fill on="f" focussize="0,0"/>
                <v:stroke color="#000000" joinstyle="round"/>
                <v:imagedata o:title=""/>
                <o:lock v:ext="edit" aspectratio="f"/>
                <w10:wrap type="square"/>
              </v:line>
            </w:pict>
          </mc:Fallback>
        </mc:AlternateContent>
      </w:r>
    </w:p>
    <w:p>
      <w:pPr>
        <w:spacing w:line="520" w:lineRule="exact"/>
        <w:ind w:firstLine="280" w:firstLineChars="100"/>
      </w:pPr>
      <w:r>
        <w:rPr>
          <w:rFonts w:eastAsia="仿宋_GB2312"/>
        </w:rPr>
        <mc:AlternateContent>
          <mc:Choice Requires="wps">
            <w:drawing>
              <wp:anchor distT="0" distB="0" distL="114300" distR="114300" simplePos="0" relativeHeight="251662336" behindDoc="0" locked="0" layoutInCell="1" allowOverlap="1">
                <wp:simplePos x="0" y="0"/>
                <wp:positionH relativeFrom="column">
                  <wp:posOffset>-88900</wp:posOffset>
                </wp:positionH>
                <wp:positionV relativeFrom="paragraph">
                  <wp:posOffset>384175</wp:posOffset>
                </wp:positionV>
                <wp:extent cx="5760085" cy="0"/>
                <wp:effectExtent l="0" t="0" r="0" b="0"/>
                <wp:wrapSquare wrapText="bothSides"/>
                <wp:docPr id="5" name="直线 8"/>
                <wp:cNvGraphicFramePr/>
                <a:graphic xmlns:a="http://schemas.openxmlformats.org/drawingml/2006/main">
                  <a:graphicData uri="http://schemas.microsoft.com/office/word/2010/wordprocessingShape">
                    <wps:wsp>
                      <wps:cNvCnPr/>
                      <wps:spPr>
                        <a:xfrm>
                          <a:off x="0" y="0"/>
                          <a:ext cx="57600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7pt;margin-top:30.25pt;height:0pt;width:453.55pt;mso-wrap-distance-bottom:0pt;mso-wrap-distance-left:9pt;mso-wrap-distance-right:9pt;mso-wrap-distance-top:0pt;z-index:251662336;mso-width-relative:page;mso-height-relative:page;" filled="f" stroked="t" coordsize="21600,21600" o:gfxdata="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TWJ2etcAAAAJAQAADwAAAAAAAAABACAAAAAiAAAAZHJz&#10;L2Rvd25yZXYueG1sUEsBAhQAFAAAAAgAh07iQNLwZVzMAQAAjQMAAA4AAAAAAAAAAQAgAAAAJgEA&#10;AGRycy9lMm9Eb2MueG1sUEsFBgAAAAAGAAYAWQEAAGQFAAAAAA==&#10;">
                <v:fill on="f" focussize="0,0"/>
                <v:stroke color="#000000" joinstyle="round"/>
                <v:imagedata o:title=""/>
                <o:lock v:ext="edit" aspectratio="f"/>
                <w10:wrap type="square"/>
              </v:line>
            </w:pict>
          </mc:Fallback>
        </mc:AlternateContent>
      </w:r>
      <w:r>
        <w:rPr>
          <w:rFonts w:eastAsia="仿宋_GB2312"/>
        </w:rPr>
        <w:t xml:space="preserve">陇川县环境保护局办公室　               </w:t>
      </w:r>
      <w:r>
        <w:rPr>
          <w:rFonts w:hint="eastAsia" w:eastAsia="仿宋_GB2312"/>
          <w:lang w:val="en-US" w:eastAsia="zh-CN"/>
        </w:rPr>
        <w:t xml:space="preserve"> </w:t>
      </w:r>
      <w:r>
        <w:rPr>
          <w:rFonts w:hint="default" w:ascii="Times New Roman" w:hAnsi="Times New Roman" w:eastAsia="仿宋_GB2312" w:cs="Times New Roman"/>
        </w:rPr>
        <w:t>201</w:t>
      </w:r>
      <w:r>
        <w:rPr>
          <w:rFonts w:hint="default" w:ascii="Times New Roman" w:hAnsi="Times New Roman" w:eastAsia="仿宋_GB2312" w:cs="Times New Roman"/>
          <w:lang w:val="en-US" w:eastAsia="zh-CN"/>
        </w:rPr>
        <w:t>9</w:t>
      </w:r>
      <w:r>
        <w:rPr>
          <w:rFonts w:hint="default" w:ascii="Times New Roman" w:hAnsi="Times New Roman" w:eastAsia="仿宋_GB2312" w:cs="Times New Roman"/>
        </w:rPr>
        <w:t>年</w:t>
      </w:r>
      <w:r>
        <w:rPr>
          <w:rFonts w:hint="eastAsia" w:ascii="Times New Roman" w:hAnsi="Times New Roman" w:eastAsia="仿宋_GB2312" w:cs="Times New Roman"/>
          <w:lang w:val="en-US" w:eastAsia="zh-CN"/>
        </w:rPr>
        <w:t>4</w:t>
      </w:r>
      <w:r>
        <w:rPr>
          <w:rFonts w:hint="default" w:ascii="Times New Roman" w:hAnsi="Times New Roman" w:eastAsia="仿宋_GB2312" w:cs="Times New Roman"/>
        </w:rPr>
        <w:t>月</w:t>
      </w:r>
      <w:r>
        <w:rPr>
          <w:rFonts w:hint="eastAsia" w:ascii="Times New Roman" w:hAnsi="Times New Roman" w:eastAsia="仿宋_GB2312" w:cs="Times New Roman"/>
          <w:lang w:val="en-US" w:eastAsia="zh-CN"/>
        </w:rPr>
        <w:t>15</w:t>
      </w:r>
      <w:r>
        <w:rPr>
          <w:rFonts w:hint="default" w:ascii="Times New Roman" w:hAnsi="Times New Roman" w:eastAsia="仿宋_GB2312" w:cs="Times New Roman"/>
        </w:rPr>
        <w:t>日</w:t>
      </w:r>
      <w:r>
        <w:rPr>
          <w:rFonts w:eastAsia="仿宋_GB2312"/>
        </w:rPr>
        <w:t>印发</w:t>
      </w:r>
    </w:p>
    <w:sectPr>
      <w:headerReference r:id="rId3" w:type="default"/>
      <w:footerReference r:id="rId5" w:type="default"/>
      <w:headerReference r:id="rId4" w:type="even"/>
      <w:footerReference r:id="rId6" w:type="even"/>
      <w:pgSz w:w="11906" w:h="16838"/>
      <w:pgMar w:top="2098" w:right="1531" w:bottom="1985" w:left="1531" w:header="851" w:footer="1134" w:gutter="0"/>
      <w:cols w:space="720"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auto"/>
    <w:pitch w:val="default"/>
    <w:sig w:usb0="8000006F" w:usb1="1200FBEF" w:usb2="0064C000" w:usb3="00000002" w:csb0="00000001" w:csb1="4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w:altName w:val="宋体"/>
    <w:panose1 w:val="00000000000000000000"/>
    <w:charset w:val="86"/>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ind w:firstLine="280" w:firstLineChars="100"/>
      <w:jc w:val="right"/>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3</w:t>
    </w:r>
    <w:r>
      <w:rPr>
        <w:sz w:val="28"/>
        <w:szCs w:val="28"/>
      </w:rPr>
      <w:fldChar w:fldCharType="end"/>
    </w:r>
    <w:r>
      <w:rPr>
        <w:rStyle w:val="6"/>
        <w:rFonts w:hint="eastAsia"/>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2</w:t>
    </w:r>
    <w:r>
      <w:rPr>
        <w:sz w:val="28"/>
        <w:szCs w:val="28"/>
      </w:rPr>
      <w:fldChar w:fldCharType="end"/>
    </w:r>
    <w:r>
      <w:rPr>
        <w:rStyle w:val="6"/>
        <w:rFonts w:hint="eastAsia"/>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4200"/>
        <w:tab w:val="clear" w:pos="8306"/>
      </w:tabs>
      <w:jc w:val="left"/>
    </w:pP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53062F6E-07F3-40F9-A1BB-40EFF287642D}"/>
    <w:docVar w:name="DocumentName" w:val="陇环发文件头"/>
  </w:docVars>
  <w:rsids>
    <w:rsidRoot w:val="553E59FE"/>
    <w:rsid w:val="003A2A01"/>
    <w:rsid w:val="269D793A"/>
    <w:rsid w:val="298B2DDE"/>
    <w:rsid w:val="2D364EB5"/>
    <w:rsid w:val="553E59FE"/>
    <w:rsid w:val="55BA40E0"/>
    <w:rsid w:val="61CB02B7"/>
    <w:rsid w:val="68975C0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8"/>
      <w:szCs w:val="28"/>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2019-01-28T09:04:00Z</dcterms:created>
  <dc:creator>陇川县环境保护局</dc:creator>
  <cp:lastModifiedBy>Administrator</cp:lastModifiedBy>
  <dcterms:modified xsi:type="dcterms:W3CDTF">2019-08-26T03:17:23Z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