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spacing w:line="300" w:lineRule="exact"/>
        <w:rPr>
          <w:rFonts w:hint="eastAsia"/>
          <w:sz w:val="32"/>
          <w:szCs w:val="32"/>
        </w:rPr>
      </w:pPr>
    </w:p>
    <w:p>
      <w:pPr>
        <w:spacing w:line="300" w:lineRule="exact"/>
        <w:rPr>
          <w:rFonts w:hint="eastAsia"/>
          <w:sz w:val="32"/>
          <w:szCs w:val="32"/>
        </w:rPr>
      </w:pPr>
    </w:p>
    <w:p>
      <w:pPr>
        <w:tabs>
          <w:tab w:val="left" w:pos="6720"/>
        </w:tabs>
        <w:ind w:firstLine="480" w:firstLineChars="150"/>
        <w:jc w:val="center"/>
        <w:rPr>
          <w:rFonts w:hint="eastAsia" w:eastAsia="方正仿宋_GBK"/>
          <w:sz w:val="32"/>
          <w:szCs w:val="32"/>
        </w:rPr>
      </w:pPr>
      <w:r>
        <w:rPr>
          <w:rFonts w:eastAsia="方正仿宋_GBK"/>
          <w:sz w:val="32"/>
          <w:szCs w:val="32"/>
        </w:rPr>
        <w:t>陇</w:t>
      </w:r>
      <w:r>
        <w:rPr>
          <w:rFonts w:hint="eastAsia" w:eastAsia="方正仿宋_GBK"/>
          <w:sz w:val="32"/>
          <w:szCs w:val="32"/>
        </w:rPr>
        <w:t>环</w:t>
      </w:r>
      <w:r>
        <w:rPr>
          <w:rFonts w:eastAsia="方正仿宋_GBK"/>
          <w:sz w:val="32"/>
          <w:szCs w:val="32"/>
        </w:rPr>
        <w:t>发</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23</w:t>
      </w:r>
      <w:bookmarkStart w:id="0" w:name="_GoBack"/>
      <w:bookmarkEnd w:id="0"/>
      <w:r>
        <w:rPr>
          <w:rFonts w:eastAsia="方正仿宋_GBK"/>
          <w:sz w:val="32"/>
          <w:szCs w:val="32"/>
        </w:rPr>
        <w:t>号</w:t>
      </w:r>
    </w:p>
    <w:p>
      <w:pPr>
        <w:snapToGrid w:val="0"/>
        <w:spacing w:line="600" w:lineRule="exact"/>
        <w:jc w:val="center"/>
        <w:rPr>
          <w:rFonts w:eastAsia="方正小标宋_GBK"/>
          <w:sz w:val="44"/>
          <w:szCs w:val="44"/>
        </w:rPr>
      </w:pPr>
    </w:p>
    <w:p>
      <w:pPr>
        <w:snapToGrid w:val="0"/>
        <w:spacing w:line="600" w:lineRule="exact"/>
        <w:jc w:val="center"/>
        <w:rPr>
          <w:rFonts w:eastAsia="方正小标宋_GBK"/>
          <w:sz w:val="44"/>
          <w:szCs w:val="44"/>
        </w:rPr>
      </w:pPr>
      <w:r>
        <w:rPr>
          <w:rFonts w:eastAsia="方正小标宋_GBK"/>
          <w:sz w:val="44"/>
          <w:szCs w:val="44"/>
        </w:rPr>
        <w:t>陇川县环境保</w:t>
      </w:r>
      <w:r>
        <w:rPr>
          <w:rFonts w:eastAsia="方正小标宋_GBK"/>
          <w:color w:val="000000"/>
          <w:sz w:val="44"/>
          <w:szCs w:val="44"/>
        </w:rPr>
        <w:t>护局关于对陇川县铅酸废旧电池收集仓储项目环境影响报告表的批复</w:t>
      </w:r>
    </w:p>
    <w:p>
      <w:pPr>
        <w:snapToGrid w:val="0"/>
        <w:spacing w:line="560" w:lineRule="exact"/>
        <w:rPr>
          <w:rFonts w:eastAsia="方正仿宋_GBK"/>
          <w:sz w:val="32"/>
          <w:szCs w:val="32"/>
        </w:rPr>
      </w:pPr>
    </w:p>
    <w:p>
      <w:pPr>
        <w:snapToGrid w:val="0"/>
        <w:spacing w:line="560" w:lineRule="exact"/>
        <w:rPr>
          <w:rFonts w:eastAsia="方正仿宋_GBK"/>
          <w:sz w:val="32"/>
          <w:szCs w:val="32"/>
        </w:rPr>
      </w:pPr>
      <w:r>
        <w:rPr>
          <w:rFonts w:hint="eastAsia" w:eastAsia="方正仿宋_GBK"/>
          <w:sz w:val="32"/>
          <w:szCs w:val="32"/>
        </w:rPr>
        <w:t>陇川县道川再生资源回收利用</w:t>
      </w:r>
      <w:r>
        <w:rPr>
          <w:rFonts w:eastAsia="方正仿宋_GBK"/>
          <w:sz w:val="32"/>
          <w:szCs w:val="32"/>
        </w:rPr>
        <w:t>有限公司：</w:t>
      </w:r>
    </w:p>
    <w:p>
      <w:pPr>
        <w:snapToGrid w:val="0"/>
        <w:spacing w:line="560" w:lineRule="exact"/>
        <w:ind w:firstLine="640" w:firstLineChars="200"/>
        <w:rPr>
          <w:rFonts w:eastAsia="方正仿宋_GBK"/>
          <w:sz w:val="32"/>
          <w:szCs w:val="32"/>
        </w:rPr>
      </w:pPr>
      <w:r>
        <w:rPr>
          <w:rFonts w:hint="eastAsia" w:hAnsi="方正仿宋_GBK" w:eastAsia="方正仿宋_GBK"/>
          <w:sz w:val="32"/>
          <w:szCs w:val="32"/>
        </w:rPr>
        <w:t>你单位报批的《陇川县铅酸废旧电池收集仓储项目环境影响报告</w:t>
      </w:r>
      <w:r>
        <w:rPr>
          <w:rFonts w:eastAsia="方正仿宋_GBK"/>
          <w:sz w:val="32"/>
          <w:szCs w:val="32"/>
        </w:rPr>
        <w:t>表（报批稿）》已收悉，结合201</w:t>
      </w:r>
      <w:r>
        <w:rPr>
          <w:rFonts w:hint="eastAsia" w:eastAsia="方正仿宋_GBK"/>
          <w:sz w:val="32"/>
          <w:szCs w:val="32"/>
        </w:rPr>
        <w:t>9</w:t>
      </w:r>
      <w:r>
        <w:rPr>
          <w:rFonts w:eastAsia="方正仿宋_GBK"/>
          <w:sz w:val="32"/>
          <w:szCs w:val="32"/>
        </w:rPr>
        <w:t>年</w:t>
      </w:r>
      <w:r>
        <w:rPr>
          <w:rFonts w:hint="eastAsia" w:eastAsia="方正仿宋_GBK"/>
          <w:sz w:val="32"/>
          <w:szCs w:val="32"/>
        </w:rPr>
        <w:t>2</w:t>
      </w:r>
      <w:r>
        <w:rPr>
          <w:rFonts w:eastAsia="方正仿宋_GBK"/>
          <w:sz w:val="32"/>
          <w:szCs w:val="32"/>
        </w:rPr>
        <w:t>月</w:t>
      </w:r>
      <w:r>
        <w:rPr>
          <w:rFonts w:hint="eastAsia" w:eastAsia="方正仿宋_GBK"/>
          <w:sz w:val="32"/>
          <w:szCs w:val="32"/>
        </w:rPr>
        <w:t>15</w:t>
      </w:r>
      <w:r>
        <w:rPr>
          <w:rFonts w:eastAsia="方正仿宋_GBK"/>
          <w:sz w:val="32"/>
          <w:szCs w:val="32"/>
        </w:rPr>
        <w:t>日我局组织的技术</w:t>
      </w:r>
      <w:r>
        <w:rPr>
          <w:rFonts w:hint="eastAsia" w:eastAsia="方正仿宋_GBK"/>
          <w:sz w:val="32"/>
          <w:szCs w:val="32"/>
        </w:rPr>
        <w:t>评估</w:t>
      </w:r>
      <w:r>
        <w:rPr>
          <w:rFonts w:eastAsia="方正仿宋_GBK"/>
          <w:sz w:val="32"/>
          <w:szCs w:val="32"/>
        </w:rPr>
        <w:t>结果</w:t>
      </w:r>
      <w:r>
        <w:rPr>
          <w:rFonts w:hint="eastAsia" w:eastAsia="方正仿宋_GBK"/>
          <w:sz w:val="32"/>
          <w:szCs w:val="32"/>
        </w:rPr>
        <w:t>（送审稿中项目建设单位为云南众芳商贸有限公司，报批稿中建设单位变更为陇川县道川再生资源回收利用有限公司）</w:t>
      </w:r>
      <w:r>
        <w:rPr>
          <w:rFonts w:eastAsia="方正仿宋_GBK"/>
          <w:sz w:val="32"/>
          <w:szCs w:val="32"/>
        </w:rPr>
        <w:t>，经认真审阅《报告表》（报批稿），现批复如下：</w:t>
      </w:r>
    </w:p>
    <w:p>
      <w:pPr>
        <w:snapToGrid w:val="0"/>
        <w:spacing w:line="560" w:lineRule="exact"/>
        <w:ind w:firstLine="640" w:firstLineChars="200"/>
        <w:rPr>
          <w:rFonts w:eastAsia="方正黑体_GBK"/>
          <w:sz w:val="32"/>
          <w:szCs w:val="32"/>
        </w:rPr>
      </w:pPr>
      <w:r>
        <w:rPr>
          <w:rFonts w:eastAsia="方正黑体_GBK"/>
          <w:sz w:val="32"/>
          <w:szCs w:val="32"/>
        </w:rPr>
        <w:t>一、项目工程概况及背景</w:t>
      </w:r>
    </w:p>
    <w:p>
      <w:pPr>
        <w:spacing w:line="560" w:lineRule="exact"/>
        <w:ind w:firstLine="640" w:firstLineChars="200"/>
        <w:rPr>
          <w:rFonts w:eastAsia="方正仿宋_GBK"/>
          <w:sz w:val="32"/>
          <w:szCs w:val="32"/>
        </w:rPr>
      </w:pPr>
      <w:r>
        <w:rPr>
          <w:rFonts w:eastAsia="方正仿宋_GBK"/>
          <w:sz w:val="32"/>
          <w:szCs w:val="32"/>
        </w:rPr>
        <w:t>陇川县铅酸废旧电池仓储项目位于陇川县章凤镇迭撒村委会拉丙三组，项目区中心地理位置坐标为北纬24°12′25.23″，东经97°43′46.78″，项目</w:t>
      </w:r>
      <w:r>
        <w:rPr>
          <w:rFonts w:hint="eastAsia" w:eastAsia="方正仿宋_GBK"/>
          <w:sz w:val="32"/>
          <w:szCs w:val="32"/>
        </w:rPr>
        <w:t>为新建项目，</w:t>
      </w:r>
      <w:r>
        <w:rPr>
          <w:rFonts w:eastAsia="方正仿宋_GBK"/>
          <w:color w:val="000000"/>
          <w:sz w:val="32"/>
          <w:szCs w:val="32"/>
        </w:rPr>
        <w:t>总占地面积为</w:t>
      </w:r>
      <w:r>
        <w:rPr>
          <w:rFonts w:eastAsia="方正仿宋_GBK"/>
          <w:color w:val="000000"/>
          <w:kern w:val="0"/>
          <w:sz w:val="32"/>
          <w:szCs w:val="32"/>
        </w:rPr>
        <w:t>500m</w:t>
      </w:r>
      <w:r>
        <w:rPr>
          <w:rFonts w:eastAsia="方正仿宋_GBK"/>
          <w:color w:val="000000"/>
          <w:kern w:val="0"/>
          <w:sz w:val="32"/>
          <w:szCs w:val="32"/>
          <w:vertAlign w:val="superscript"/>
        </w:rPr>
        <w:t>2</w:t>
      </w:r>
      <w:r>
        <w:rPr>
          <w:rFonts w:eastAsia="方正仿宋_GBK"/>
          <w:color w:val="000000"/>
          <w:kern w:val="0"/>
          <w:sz w:val="32"/>
          <w:szCs w:val="32"/>
        </w:rPr>
        <w:t>，总</w:t>
      </w:r>
      <w:r>
        <w:rPr>
          <w:rFonts w:eastAsia="方正仿宋_GBK"/>
          <w:color w:val="000000"/>
          <w:sz w:val="32"/>
          <w:szCs w:val="32"/>
        </w:rPr>
        <w:t>建筑面积165m</w:t>
      </w:r>
      <w:r>
        <w:rPr>
          <w:rFonts w:eastAsia="方正仿宋_GBK"/>
          <w:color w:val="000000"/>
          <w:sz w:val="32"/>
          <w:szCs w:val="32"/>
          <w:vertAlign w:val="superscript"/>
        </w:rPr>
        <w:t>2</w:t>
      </w:r>
      <w:r>
        <w:rPr>
          <w:rFonts w:eastAsia="方正仿宋_GBK"/>
          <w:sz w:val="32"/>
          <w:szCs w:val="32"/>
        </w:rPr>
        <w:t>。</w:t>
      </w:r>
      <w:r>
        <w:rPr>
          <w:rFonts w:eastAsia="方正仿宋_GBK"/>
          <w:color w:val="000000"/>
          <w:sz w:val="32"/>
          <w:szCs w:val="32"/>
        </w:rPr>
        <w:t>项目建设分为主体工程、公辅工程及环保工程四个部分，其中，主体工程有废电瓶仓库60m</w:t>
      </w:r>
      <w:r>
        <w:rPr>
          <w:rFonts w:eastAsia="方正仿宋_GBK"/>
          <w:color w:val="000000"/>
          <w:sz w:val="32"/>
          <w:szCs w:val="32"/>
          <w:vertAlign w:val="superscript"/>
        </w:rPr>
        <w:t>2</w:t>
      </w:r>
      <w:r>
        <w:rPr>
          <w:rFonts w:eastAsia="方正仿宋_GBK"/>
          <w:color w:val="000000"/>
          <w:sz w:val="32"/>
          <w:szCs w:val="32"/>
        </w:rPr>
        <w:t>；环保工程有隔油池20L一个，化粪池2m</w:t>
      </w:r>
      <w:r>
        <w:rPr>
          <w:rFonts w:eastAsia="方正仿宋_GBK"/>
          <w:color w:val="000000"/>
          <w:sz w:val="32"/>
          <w:szCs w:val="32"/>
          <w:vertAlign w:val="superscript"/>
        </w:rPr>
        <w:t>3</w:t>
      </w:r>
      <w:r>
        <w:rPr>
          <w:rFonts w:eastAsia="方正仿宋_GBK"/>
          <w:color w:val="000000"/>
          <w:sz w:val="32"/>
          <w:szCs w:val="32"/>
        </w:rPr>
        <w:t>一个，排抽风系统（含碱液吸收）一套，油烟净化器一套；另公辅工程有</w:t>
      </w:r>
      <w:r>
        <w:rPr>
          <w:rFonts w:eastAsia="方正仿宋_GBK"/>
          <w:color w:val="000000"/>
          <w:kern w:val="0"/>
          <w:sz w:val="32"/>
          <w:szCs w:val="32"/>
        </w:rPr>
        <w:t>办公室</w:t>
      </w:r>
      <w:r>
        <w:rPr>
          <w:rFonts w:eastAsia="方正仿宋_GBK"/>
          <w:color w:val="000000"/>
          <w:sz w:val="32"/>
          <w:szCs w:val="32"/>
        </w:rPr>
        <w:t>3×15m</w:t>
      </w:r>
      <w:r>
        <w:rPr>
          <w:rFonts w:eastAsia="方正仿宋_GBK"/>
          <w:color w:val="000000"/>
          <w:sz w:val="32"/>
          <w:szCs w:val="32"/>
          <w:vertAlign w:val="superscript"/>
        </w:rPr>
        <w:t>2</w:t>
      </w:r>
      <w:r>
        <w:rPr>
          <w:rFonts w:eastAsia="方正仿宋_GBK"/>
          <w:color w:val="000000"/>
          <w:kern w:val="0"/>
          <w:sz w:val="32"/>
          <w:szCs w:val="32"/>
        </w:rPr>
        <w:t>、食堂</w:t>
      </w:r>
      <w:r>
        <w:rPr>
          <w:rFonts w:eastAsia="方正仿宋_GBK"/>
          <w:color w:val="000000"/>
          <w:sz w:val="32"/>
          <w:szCs w:val="32"/>
        </w:rPr>
        <w:t>20m</w:t>
      </w:r>
      <w:r>
        <w:rPr>
          <w:rFonts w:eastAsia="方正仿宋_GBK"/>
          <w:color w:val="000000"/>
          <w:sz w:val="32"/>
          <w:szCs w:val="32"/>
          <w:vertAlign w:val="superscript"/>
        </w:rPr>
        <w:t>2</w:t>
      </w:r>
      <w:r>
        <w:rPr>
          <w:rFonts w:eastAsia="方正仿宋_GBK"/>
          <w:color w:val="000000"/>
          <w:kern w:val="0"/>
          <w:sz w:val="32"/>
          <w:szCs w:val="32"/>
        </w:rPr>
        <w:t>、宿舍</w:t>
      </w:r>
      <w:r>
        <w:rPr>
          <w:rFonts w:eastAsia="方正仿宋_GBK"/>
          <w:color w:val="000000"/>
          <w:sz w:val="32"/>
          <w:szCs w:val="32"/>
        </w:rPr>
        <w:t>2×15m</w:t>
      </w:r>
      <w:r>
        <w:rPr>
          <w:rFonts w:eastAsia="方正仿宋_GBK"/>
          <w:color w:val="000000"/>
          <w:sz w:val="32"/>
          <w:szCs w:val="32"/>
          <w:vertAlign w:val="superscript"/>
        </w:rPr>
        <w:t>2</w:t>
      </w:r>
      <w:r>
        <w:rPr>
          <w:rFonts w:eastAsia="方正仿宋_GBK"/>
          <w:color w:val="000000"/>
          <w:kern w:val="0"/>
          <w:sz w:val="32"/>
          <w:szCs w:val="32"/>
        </w:rPr>
        <w:t>、卫生间</w:t>
      </w:r>
      <w:r>
        <w:rPr>
          <w:rFonts w:eastAsia="方正仿宋_GBK"/>
          <w:color w:val="000000"/>
          <w:sz w:val="32"/>
          <w:szCs w:val="32"/>
        </w:rPr>
        <w:t>10m</w:t>
      </w:r>
      <w:r>
        <w:rPr>
          <w:rFonts w:eastAsia="方正仿宋_GBK"/>
          <w:color w:val="000000"/>
          <w:sz w:val="32"/>
          <w:szCs w:val="32"/>
          <w:vertAlign w:val="superscript"/>
        </w:rPr>
        <w:t>2</w:t>
      </w:r>
      <w:r>
        <w:rPr>
          <w:rFonts w:eastAsia="方正仿宋_GBK"/>
          <w:color w:val="000000"/>
          <w:kern w:val="0"/>
          <w:sz w:val="32"/>
          <w:szCs w:val="32"/>
        </w:rPr>
        <w:t>、供水及排水；其它有</w:t>
      </w:r>
      <w:r>
        <w:rPr>
          <w:rFonts w:eastAsia="方正仿宋_GBK"/>
          <w:color w:val="000000"/>
          <w:sz w:val="32"/>
          <w:szCs w:val="32"/>
        </w:rPr>
        <w:t>2m</w:t>
      </w:r>
      <w:r>
        <w:rPr>
          <w:rFonts w:eastAsia="方正仿宋_GBK"/>
          <w:color w:val="000000"/>
          <w:sz w:val="32"/>
          <w:szCs w:val="32"/>
          <w:vertAlign w:val="superscript"/>
        </w:rPr>
        <w:t>3</w:t>
      </w:r>
      <w:r>
        <w:rPr>
          <w:rFonts w:eastAsia="方正仿宋_GBK"/>
          <w:color w:val="000000"/>
          <w:sz w:val="32"/>
          <w:szCs w:val="32"/>
        </w:rPr>
        <w:t>事故池一个、30m导流沟、环氧树脂涂层防渗、防腐</w:t>
      </w:r>
      <w:r>
        <w:rPr>
          <w:rFonts w:eastAsia="方正仿宋_GBK"/>
          <w:color w:val="000000"/>
          <w:kern w:val="0"/>
          <w:sz w:val="32"/>
          <w:szCs w:val="32"/>
        </w:rPr>
        <w:t>。</w:t>
      </w:r>
      <w:r>
        <w:rPr>
          <w:rFonts w:eastAsia="方正仿宋_GBK"/>
          <w:sz w:val="32"/>
          <w:szCs w:val="32"/>
        </w:rPr>
        <w:t>项目总投资200万元，环保投资19.82万元。</w:t>
      </w:r>
    </w:p>
    <w:p>
      <w:pPr>
        <w:spacing w:line="560" w:lineRule="exact"/>
        <w:ind w:firstLine="643" w:firstLineChars="200"/>
        <w:rPr>
          <w:rFonts w:eastAsia="方正黑体_GBK"/>
          <w:sz w:val="32"/>
          <w:szCs w:val="32"/>
        </w:rPr>
      </w:pPr>
      <w:r>
        <w:rPr>
          <w:rFonts w:eastAsia="方正黑体_GBK"/>
          <w:b/>
          <w:sz w:val="32"/>
          <w:szCs w:val="32"/>
        </w:rPr>
        <w:t>二、</w:t>
      </w:r>
      <w:r>
        <w:rPr>
          <w:rFonts w:eastAsia="方正黑体_GBK"/>
          <w:sz w:val="32"/>
          <w:szCs w:val="32"/>
        </w:rPr>
        <w:t>审批意见</w:t>
      </w:r>
    </w:p>
    <w:p>
      <w:pPr>
        <w:adjustRightInd w:val="0"/>
        <w:snapToGrid w:val="0"/>
        <w:spacing w:line="560" w:lineRule="exact"/>
        <w:ind w:firstLine="640" w:firstLineChars="200"/>
        <w:rPr>
          <w:rFonts w:eastAsia="方正仿宋_GBK"/>
          <w:sz w:val="32"/>
          <w:szCs w:val="32"/>
        </w:rPr>
      </w:pPr>
      <w:r>
        <w:rPr>
          <w:rFonts w:eastAsia="方正仿宋_GBK"/>
          <w:sz w:val="32"/>
          <w:szCs w:val="32"/>
        </w:rPr>
        <w:t>该项目符合国家产业政策，《报告表》中的工程概况介绍清楚，项目分析与环境影响源的识别基本上反映了项目特性，基本阐明了项目环保工程的合理性。据环评单位调查及项目单位反馈该项目不涉及文物古迹、名木古树等重要保护单位。经我局研究，同意该项目按照《报告表》中的性质、规模、地点、工艺和环境保护对策进行建设。</w:t>
      </w:r>
    </w:p>
    <w:p>
      <w:pPr>
        <w:spacing w:line="560" w:lineRule="exact"/>
        <w:ind w:firstLine="640" w:firstLineChars="200"/>
        <w:rPr>
          <w:rFonts w:eastAsia="方正黑体_GBK"/>
          <w:sz w:val="32"/>
          <w:szCs w:val="32"/>
        </w:rPr>
      </w:pPr>
      <w:r>
        <w:rPr>
          <w:rFonts w:eastAsia="方正黑体_GBK"/>
          <w:sz w:val="32"/>
          <w:szCs w:val="32"/>
        </w:rPr>
        <w:t>三、项目建设及运营过程中应重点做好的工作</w:t>
      </w:r>
    </w:p>
    <w:p>
      <w:pPr>
        <w:snapToGrid w:val="0"/>
        <w:spacing w:line="560" w:lineRule="exact"/>
        <w:ind w:firstLine="640" w:firstLineChars="200"/>
        <w:rPr>
          <w:rFonts w:eastAsia="方正楷体_GBK"/>
          <w:color w:val="000000"/>
          <w:sz w:val="32"/>
          <w:szCs w:val="32"/>
        </w:rPr>
      </w:pPr>
      <w:r>
        <w:rPr>
          <w:rFonts w:eastAsia="方正楷体_GBK"/>
          <w:color w:val="000000"/>
          <w:sz w:val="32"/>
          <w:szCs w:val="32"/>
        </w:rPr>
        <w:t>（一）严格按照《危险废物贮存污染控制标准》（GB18597-2001）和《废铅酸蓄电池处理污染控制技术规范》（HJ519-2009）的相关规定进行设计、施工、运营。</w:t>
      </w:r>
    </w:p>
    <w:p>
      <w:pPr>
        <w:snapToGrid w:val="0"/>
        <w:spacing w:line="560" w:lineRule="exact"/>
        <w:ind w:firstLine="640" w:firstLineChars="200"/>
        <w:rPr>
          <w:rFonts w:eastAsia="方正楷体_GBK"/>
          <w:color w:val="000000"/>
          <w:sz w:val="32"/>
          <w:szCs w:val="32"/>
        </w:rPr>
      </w:pPr>
      <w:r>
        <w:rPr>
          <w:rFonts w:eastAsia="方正楷体_GBK"/>
          <w:color w:val="000000"/>
          <w:sz w:val="32"/>
          <w:szCs w:val="32"/>
        </w:rPr>
        <w:t>（二）</w:t>
      </w:r>
      <w:r>
        <w:rPr>
          <w:rFonts w:eastAsia="方正楷体_GBK"/>
          <w:sz w:val="32"/>
          <w:szCs w:val="32"/>
        </w:rPr>
        <w:t>严格执行“三同时”制度，认真对照《报告表》及本批复建设落实雨污分流工程</w:t>
      </w:r>
      <w:r>
        <w:rPr>
          <w:rFonts w:hint="eastAsia" w:eastAsia="方正楷体_GBK"/>
          <w:color w:val="000000"/>
          <w:sz w:val="32"/>
          <w:szCs w:val="32"/>
        </w:rPr>
        <w:t>，</w:t>
      </w:r>
      <w:r>
        <w:rPr>
          <w:rFonts w:eastAsia="方正楷体_GBK"/>
          <w:color w:val="000000"/>
          <w:sz w:val="32"/>
          <w:szCs w:val="32"/>
        </w:rPr>
        <w:t>完善防渗、防腐、导流沟</w:t>
      </w:r>
      <w:r>
        <w:rPr>
          <w:rFonts w:eastAsia="方正楷体_GBK"/>
          <w:sz w:val="32"/>
          <w:szCs w:val="32"/>
        </w:rPr>
        <w:t>、</w:t>
      </w:r>
      <w:r>
        <w:rPr>
          <w:rFonts w:eastAsia="方正楷体_GBK"/>
          <w:color w:val="000000"/>
          <w:sz w:val="32"/>
          <w:szCs w:val="32"/>
        </w:rPr>
        <w:t>事故应急池等环保工程措施。</w:t>
      </w:r>
    </w:p>
    <w:p>
      <w:pPr>
        <w:snapToGrid w:val="0"/>
        <w:spacing w:line="560" w:lineRule="exact"/>
        <w:ind w:firstLine="640" w:firstLineChars="200"/>
        <w:rPr>
          <w:rFonts w:eastAsia="方正楷体_GBK"/>
          <w:color w:val="000000"/>
          <w:sz w:val="32"/>
          <w:szCs w:val="32"/>
        </w:rPr>
      </w:pPr>
      <w:r>
        <w:rPr>
          <w:rFonts w:eastAsia="方正楷体_GBK"/>
          <w:color w:val="000000"/>
          <w:sz w:val="32"/>
          <w:szCs w:val="32"/>
        </w:rPr>
        <w:t>（三）</w:t>
      </w:r>
      <w:r>
        <w:rPr>
          <w:rFonts w:hint="eastAsia" w:eastAsia="方正楷体_GBK"/>
          <w:sz w:val="32"/>
          <w:szCs w:val="32"/>
        </w:rPr>
        <w:t>不断改善提高污染防治工程措施，从源头减少各项污</w:t>
      </w: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6" name="KGD_Gobal1" descr="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" style="position:absolute;left:0pt;margin-left:-86.55pt;margin-top:-94.9pt;height:5pt;width:5pt;visibility:hidden;z-index:25166438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">
                <v:fill on="t" focussize="0,0"/>
                <v:stroke weight="1pt" color="#41719C [3204]" miterlimit="8" joinstyle="miter"/>
                <v:imagedata o:title=""/>
                <o:lock v:ext="edit" aspectratio="f"/>
              </v:rect>
            </w:pict>
          </mc:Fallback>
        </mc:AlternateContent>
      </w:r>
      <w:r>
        <w:rPr>
          <w:rFonts w:hint="eastAsia" w:eastAsia="方正楷体_GBK"/>
          <w:sz w:val="32"/>
          <w:szCs w:val="32"/>
        </w:rPr>
        <w:t>染物的产生量，在末端加大污染物的收集处理量。</w:t>
      </w:r>
    </w:p>
    <w:p>
      <w:pPr>
        <w:snapToGrid w:val="0"/>
        <w:spacing w:line="560" w:lineRule="exact"/>
        <w:ind w:firstLine="640" w:firstLineChars="200"/>
        <w:rPr>
          <w:rFonts w:eastAsia="方正楷体_GBK"/>
          <w:color w:val="000000"/>
          <w:sz w:val="32"/>
          <w:szCs w:val="32"/>
        </w:rPr>
      </w:pPr>
      <w:r>
        <w:rPr>
          <w:rFonts w:eastAsia="方正楷体_GBK"/>
          <w:color w:val="000000"/>
          <w:sz w:val="32"/>
          <w:szCs w:val="32"/>
        </w:rPr>
        <w:t>（四）加强施工期场地噪声、扬尘的防控，规范收集施工废水回用不外排。</w:t>
      </w:r>
    </w:p>
    <w:p>
      <w:pPr>
        <w:snapToGrid w:val="0"/>
        <w:spacing w:line="560" w:lineRule="exact"/>
        <w:ind w:firstLine="640" w:firstLineChars="200"/>
        <w:rPr>
          <w:rFonts w:eastAsia="方正楷体_GBK"/>
          <w:color w:val="000000"/>
          <w:sz w:val="32"/>
          <w:szCs w:val="32"/>
        </w:rPr>
      </w:pPr>
      <w:r>
        <w:rPr>
          <w:rFonts w:eastAsia="方正楷体_GBK"/>
          <w:color w:val="000000"/>
          <w:sz w:val="32"/>
          <w:szCs w:val="32"/>
        </w:rPr>
        <w:t>（五）建立健全污染防治设施运行、管理、维护机制，设专人负责各项环保工程设施的运行维护，以及监控污染物产排情况。确保污染防治设施安全稳定运行，</w:t>
      </w:r>
      <w:r>
        <w:rPr>
          <w:rFonts w:hint="eastAsia" w:eastAsia="方正楷体_GBK"/>
          <w:sz w:val="32"/>
          <w:szCs w:val="32"/>
        </w:rPr>
        <w:t>以及规范固体废弃物收集处置，确保</w:t>
      </w:r>
      <w:r>
        <w:rPr>
          <w:rFonts w:eastAsia="方正楷体_GBK"/>
          <w:color w:val="000000"/>
          <w:sz w:val="32"/>
          <w:szCs w:val="32"/>
        </w:rPr>
        <w:t>各项污染物达标排放，以及规范安全的收集与处理处置</w:t>
      </w:r>
      <w:r>
        <w:rPr>
          <w:rFonts w:hint="eastAsia" w:eastAsia="方正楷体_GBK"/>
          <w:color w:val="000000"/>
          <w:sz w:val="32"/>
          <w:szCs w:val="32"/>
        </w:rPr>
        <w:t>危险</w:t>
      </w:r>
      <w:r>
        <w:rPr>
          <w:rFonts w:eastAsia="方正楷体_GBK"/>
          <w:color w:val="000000"/>
          <w:sz w:val="32"/>
          <w:szCs w:val="32"/>
        </w:rPr>
        <w:t>废弃物</w:t>
      </w:r>
      <w:r>
        <w:rPr>
          <w:rFonts w:hint="eastAsia" w:eastAsia="方正楷体_GBK"/>
          <w:sz w:val="32"/>
          <w:szCs w:val="32"/>
        </w:rPr>
        <w:t>，杜绝发生环境污染</w:t>
      </w:r>
      <w:r>
        <w:rPr>
          <w:rFonts w:eastAsia="方正楷体_GBK"/>
          <w:color w:val="000000"/>
          <w:sz w:val="32"/>
          <w:szCs w:val="32"/>
        </w:rPr>
        <w:t>。</w:t>
      </w:r>
    </w:p>
    <w:p>
      <w:pPr>
        <w:snapToGrid w:val="0"/>
        <w:spacing w:line="560" w:lineRule="exact"/>
        <w:ind w:firstLine="640" w:firstLineChars="200"/>
        <w:rPr>
          <w:rFonts w:hint="eastAsia" w:eastAsia="方正楷体_GBK"/>
          <w:color w:val="000000"/>
          <w:sz w:val="32"/>
          <w:szCs w:val="32"/>
        </w:rPr>
      </w:pPr>
      <w:r>
        <w:rPr>
          <w:rFonts w:eastAsia="方正楷体_GBK"/>
          <w:color w:val="000000"/>
          <w:sz w:val="32"/>
          <w:szCs w:val="32"/>
        </w:rPr>
        <w:t>（六）加强人员的操作与管理培训，严格落实《报告表》风险防范措施，建立健全环境污染事故应急处理机制，建设完善污染事故应急池等应急处理设备、设施，按规定及时编制报备突发环境事件应急预案。</w:t>
      </w:r>
    </w:p>
    <w:p>
      <w:pPr>
        <w:snapToGrid w:val="0"/>
        <w:spacing w:line="560" w:lineRule="exact"/>
        <w:ind w:firstLine="640" w:firstLineChars="200"/>
        <w:rPr>
          <w:rFonts w:eastAsia="方正楷体_GBK"/>
          <w:color w:val="000000"/>
          <w:sz w:val="32"/>
          <w:szCs w:val="32"/>
        </w:rPr>
      </w:pPr>
      <w:r>
        <w:rPr>
          <w:rFonts w:hint="eastAsia" w:eastAsia="方正楷体_GBK"/>
          <w:color w:val="000000"/>
          <w:sz w:val="32"/>
          <w:szCs w:val="32"/>
        </w:rPr>
        <w:t>（七）收集车辆必须完善防护设施，杜绝收集运输过程中出现泼洒、滴漏；运输车辆需尽可能绕开饮用水源地等敏感区域通行。</w:t>
      </w:r>
    </w:p>
    <w:p>
      <w:pPr>
        <w:spacing w:line="560" w:lineRule="exact"/>
        <w:ind w:firstLine="640" w:firstLineChars="20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四、严格按照《报告表》中工艺、规模进行建设，认真落实环保资金的投入，严格按《报告表》提出的环保投资概算执行，认真落实各项环保工程措施；建立健全环境管理工作机制，明确责任人及职责；按报告要求开展施工期与运营期环境监察及环境监测工作。</w:t>
      </w:r>
    </w:p>
    <w:p>
      <w:pPr>
        <w:spacing w:line="560" w:lineRule="exact"/>
        <w:ind w:firstLine="640" w:firstLineChars="20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五、项目建成后，根据《建设项目环境保护管理条例》及《建设项目竣工环境保护验收管理办法》等有关规定进行试运行及竣工环境保护验收。试运行前需向环评审批单位报告试运行时间，在试运行期间需完成竣工环境保护验收工作，通过竣工环境保护验收方可正式投入运营。</w:t>
      </w:r>
    </w:p>
    <w:p>
      <w:pPr>
        <w:spacing w:line="560" w:lineRule="exact"/>
        <w:ind w:firstLine="640" w:firstLineChars="20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六、建设项目的性质、规模、地点、采用的生产工艺或者防治污染、防止生态破坏的措施发生重大变动时，建设单位应当重新报批建设项目的环境影响评价文件。</w:t>
      </w:r>
    </w:p>
    <w:p>
      <w:pPr>
        <w:snapToGrid w:val="0"/>
        <w:spacing w:line="560" w:lineRule="exact"/>
        <w:ind w:firstLine="640" w:firstLineChars="200"/>
        <w:jc w:val="right"/>
        <w:rPr>
          <w:rFonts w:eastAsia="方正仿宋_GBK"/>
          <w:sz w:val="32"/>
          <w:szCs w:val="32"/>
        </w:rPr>
      </w:pPr>
    </w:p>
    <w:p>
      <w:pPr>
        <w:snapToGrid w:val="0"/>
        <w:spacing w:line="560" w:lineRule="exact"/>
        <w:ind w:firstLine="640" w:firstLineChars="200"/>
        <w:jc w:val="right"/>
        <w:rPr>
          <w:rFonts w:eastAsia="方正仿宋_GBK"/>
          <w:sz w:val="32"/>
          <w:szCs w:val="32"/>
        </w:rPr>
      </w:pPr>
    </w:p>
    <w:p>
      <w:pPr>
        <w:snapToGrid w:val="0"/>
        <w:spacing w:line="560" w:lineRule="exact"/>
        <w:ind w:firstLine="640" w:firstLineChars="200"/>
        <w:jc w:val="right"/>
        <w:rPr>
          <w:rFonts w:eastAsia="方正仿宋_GBK"/>
          <w:sz w:val="32"/>
          <w:szCs w:val="32"/>
          <w:highlight w:val="none"/>
        </w:rPr>
      </w:pPr>
      <w:r>
        <w:rPr>
          <w:rFonts w:eastAsia="方正仿宋_GBK"/>
          <w:sz w:val="32"/>
          <w:szCs w:val="32"/>
          <w:highlight w:val="none"/>
        </w:rPr>
        <w:t>陇川县环境保护局</w:t>
      </w:r>
    </w:p>
    <w:p>
      <w:pPr>
        <w:snapToGrid w:val="0"/>
        <w:spacing w:line="560" w:lineRule="exact"/>
        <w:ind w:firstLine="640" w:firstLineChars="200"/>
        <w:jc w:val="right"/>
        <w:rPr>
          <w:rFonts w:eastAsia="仿宋_GB2312"/>
          <w:sz w:val="32"/>
          <w:szCs w:val="32"/>
          <w:highlight w:val="none"/>
        </w:rPr>
      </w:pPr>
      <w:r>
        <w:rPr>
          <w:sz w:val="32"/>
        </w:rPr>
        <mc:AlternateContent>
          <mc:Choice Requires="wps">
            <w:drawing>
              <wp:anchor distT="0" distB="0" distL="114300" distR="114300" simplePos="0" relativeHeight="251658240" behindDoc="1" locked="0" layoutInCell="1" hidden="1" allowOverlap="1">
                <wp:simplePos x="0" y="0"/>
                <wp:positionH relativeFrom="column">
                  <wp:posOffset>-4752340</wp:posOffset>
                </wp:positionH>
                <wp:positionV relativeFrom="paragraph">
                  <wp:posOffset>-9878695</wp:posOffset>
                </wp:positionV>
                <wp:extent cx="15120620" cy="21384260"/>
                <wp:effectExtent l="0" t="0" r="0" b="0"/>
                <wp:wrapNone/>
                <wp:docPr id="3" name="KG_Shd_4"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4" o:spid="_x0000_s1026" o:spt="1" style="position:absolute;left:0pt;margin-left:-374.2pt;margin-top:-777.85pt;height:1683.8pt;width:1190.6pt;visibility:hidden;z-index:-251658240;v-text-anchor:middle;mso-width-relative:page;mso-height-relative:page;" fillcolor="#FFFFFF" filled="t" stroked="t" coordsize="21600,21600" o:gfxdata="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Gq6p9wAAAAQAQAADwAAAAAAAAABACAAAAAiAAAAZHJzL2Rvd25yZXYu&#10;eG1sUEsBAhQAFAAAAAgAh07iQHlKUl9pAgAABAUAAA4AAAAAAAAAAQAgAAAAKwEAAGRycy9lMm9E&#10;b2MueG1sUEsFBgAAAAAGAAYAWQEAAAYGAAAAAA==&#10;">
                <v:fill on="t" opacity="0f" focussize="0,0"/>
                <v:stroke weight="1pt" color="#BCBCBC [3204]" opacity="0f" miterlimit="8" joinstyle="miter"/>
                <v:imagedata o:title=""/>
                <o:lock v:ext="edit" aspectratio="f"/>
              </v:rect>
            </w:pict>
          </mc:Fallback>
        </mc:AlternateContent>
      </w:r>
      <w:r>
        <w:rPr>
          <w:rFonts w:eastAsia="方正仿宋_GBK"/>
          <w:color w:val="000000"/>
          <w:sz w:val="32"/>
          <w:szCs w:val="32"/>
          <w:highlight w:val="none"/>
        </w:rPr>
        <w:t>201</w:t>
      </w:r>
      <w:r>
        <w:rPr>
          <w:rFonts w:hint="eastAsia" w:eastAsia="方正仿宋_GBK"/>
          <w:color w:val="000000"/>
          <w:sz w:val="32"/>
          <w:szCs w:val="32"/>
          <w:highlight w:val="none"/>
        </w:rPr>
        <w:t>9</w:t>
      </w:r>
      <w:r>
        <w:rPr>
          <w:rFonts w:eastAsia="方正仿宋_GBK"/>
          <w:color w:val="000000"/>
          <w:sz w:val="32"/>
          <w:szCs w:val="32"/>
          <w:highlight w:val="none"/>
        </w:rPr>
        <w:t>年</w:t>
      </w:r>
      <w:r>
        <w:rPr>
          <w:rFonts w:hint="eastAsia" w:eastAsia="方正仿宋_GBK"/>
          <w:color w:val="000000"/>
          <w:sz w:val="32"/>
          <w:szCs w:val="32"/>
          <w:highlight w:val="none"/>
        </w:rPr>
        <w:t>3</w:t>
      </w:r>
      <w:r>
        <w:rPr>
          <w:rFonts w:eastAsia="方正仿宋_GBK"/>
          <w:color w:val="000000"/>
          <w:sz w:val="32"/>
          <w:szCs w:val="32"/>
          <w:highlight w:val="none"/>
        </w:rPr>
        <w:t>月</w:t>
      </w:r>
      <w:r>
        <w:rPr>
          <w:rFonts w:hint="eastAsia" w:eastAsia="方正仿宋_GBK"/>
          <w:color w:val="000000"/>
          <w:sz w:val="32"/>
          <w:szCs w:val="32"/>
          <w:highlight w:val="none"/>
        </w:rPr>
        <w:t>22</w:t>
      </w:r>
      <w:r>
        <w:rPr>
          <w:rFonts w:eastAsia="方正仿宋_GBK"/>
          <w:color w:val="000000"/>
          <w:sz w:val="32"/>
          <w:szCs w:val="32"/>
          <w:highlight w:val="none"/>
        </w:rPr>
        <w:t>日</w:t>
      </w:r>
    </w:p>
    <w:p>
      <w:pPr>
        <w:spacing w:line="520" w:lineRule="exact"/>
        <w:rPr>
          <w:rFonts w:hint="eastAsia" w:ascii="方正仿宋_GBK" w:eastAsia="方正仿宋_GBK"/>
          <w:sz w:val="32"/>
          <w:szCs w:val="32"/>
          <w:highlight w:val="none"/>
        </w:rPr>
      </w:pPr>
    </w:p>
    <w:p>
      <w:pPr>
        <w:pStyle w:val="2"/>
        <w:rPr>
          <w:rFonts w:hint="eastAsia" w:ascii="方正仿宋_GBK" w:eastAsia="方正仿宋_GBK"/>
          <w:sz w:val="32"/>
          <w:szCs w:val="32"/>
          <w:lang w:eastAsia="zh-CN"/>
        </w:rPr>
      </w:pPr>
      <w:r>
        <w:rPr>
          <w:rFonts w:hint="eastAsia" w:ascii="方正仿宋_GBK" w:eastAsia="方正仿宋_GBK"/>
          <w:sz w:val="32"/>
          <w:szCs w:val="32"/>
          <w:lang w:eastAsia="zh-CN"/>
        </w:rPr>
        <w:t>（此件依申请公开）</w:t>
      </w:r>
    </w:p>
    <w:p>
      <w:pPr>
        <w:pStyle w:val="2"/>
        <w:rPr>
          <w:rFonts w:hint="eastAsia" w:ascii="方正仿宋_GBK" w:eastAsia="方正仿宋_GBK"/>
          <w:sz w:val="32"/>
          <w:szCs w:val="32"/>
        </w:rPr>
      </w:pPr>
    </w:p>
    <w:p>
      <w:pPr>
        <w:pStyle w:val="2"/>
        <w:rPr>
          <w:rFonts w:hint="eastAsia" w:ascii="方正仿宋_GBK" w:eastAsia="方正仿宋_GBK"/>
          <w:sz w:val="32"/>
          <w:szCs w:val="32"/>
        </w:rPr>
      </w:pPr>
    </w:p>
    <w:p>
      <w:pPr>
        <w:pStyle w:val="2"/>
        <w:rPr>
          <w:rFonts w:hint="eastAsia" w:ascii="方正仿宋_GBK" w:eastAsia="方正仿宋_GBK"/>
          <w:sz w:val="32"/>
          <w:szCs w:val="32"/>
        </w:rPr>
      </w:pPr>
    </w:p>
    <w:p>
      <w:pPr>
        <w:pStyle w:val="2"/>
        <w:rPr>
          <w:rFonts w:hint="eastAsia" w:ascii="方正仿宋_GBK" w:eastAsia="方正仿宋_GBK"/>
          <w:sz w:val="32"/>
          <w:szCs w:val="32"/>
        </w:rPr>
      </w:pPr>
    </w:p>
    <w:p>
      <w:pPr>
        <w:pStyle w:val="2"/>
        <w:rPr>
          <w:rFonts w:hint="eastAsia" w:ascii="方正仿宋_GBK" w:eastAsia="方正仿宋_GBK"/>
          <w:sz w:val="32"/>
          <w:szCs w:val="32"/>
        </w:rPr>
      </w:pPr>
    </w:p>
    <w:p>
      <w:pPr>
        <w:pStyle w:val="2"/>
        <w:rPr>
          <w:rFonts w:hint="eastAsia" w:ascii="方正仿宋_GBK" w:eastAsia="方正仿宋_GBK"/>
          <w:sz w:val="32"/>
          <w:szCs w:val="32"/>
        </w:rPr>
      </w:pPr>
    </w:p>
    <w:p>
      <w:pPr>
        <w:spacing w:line="520" w:lineRule="exact"/>
        <w:rPr>
          <w:rFonts w:hint="eastAsia" w:ascii="方正仿宋_GBK" w:eastAsia="方正仿宋_GBK"/>
          <w:sz w:val="32"/>
          <w:szCs w:val="32"/>
        </w:rPr>
      </w:pPr>
      <w:r>
        <w:rPr>
          <w:rFonts w:ascii="方正小标宋简体" w:eastAsia="方正小标宋简体"/>
          <w:sz w:val="32"/>
          <w:szCs w:val="32"/>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343535</wp:posOffset>
                </wp:positionV>
                <wp:extent cx="5760085" cy="0"/>
                <wp:effectExtent l="0" t="0" r="0" b="0"/>
                <wp:wrapSquare wrapText="bothSides"/>
                <wp:docPr id="4" name="直线 7"/>
                <wp:cNvGraphicFramePr/>
                <a:graphic xmlns:a="http://schemas.openxmlformats.org/drawingml/2006/main">
                  <a:graphicData uri="http://schemas.microsoft.com/office/word/2010/wordprocessingShape">
                    <wps:wsp>
                      <wps:cNvCnPr/>
                      <wps:spPr>
                        <a:xfrm>
                          <a:off x="0" y="0"/>
                          <a:ext cx="57600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top:27.05pt;height:0pt;width:453.55pt;mso-position-horizontal:center;mso-wrap-distance-bottom:0pt;mso-wrap-distance-left:9pt;mso-wrap-distance-right:9pt;mso-wrap-distance-top:0pt;z-index:251661312;mso-width-relative:page;mso-height-relative:page;" filled="f" stroked="t" coordsize="21600,21600" o:gfxdata="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tXYd51AAAAAYBAAAPAAAAAAAAAAEAIAAAACIAAABkcnMv&#10;ZG93bnJldi54bWxQSwECFAAUAAAACACHTuJAL6VOnM4BAACNAwAADgAAAAAAAAABACAAAAAjAQAA&#10;ZHJzL2Uyb0RvYy54bWxQSwUGAAAAAAYABgBZAQAAYwUAAAAA&#10;">
                <v:fill on="f" focussize="0,0"/>
                <v:stroke color="#000000" joinstyle="round"/>
                <v:imagedata o:title=""/>
                <o:lock v:ext="edit" aspectratio="f"/>
                <w10:wrap type="square"/>
              </v:line>
            </w:pict>
          </mc:Fallback>
        </mc:AlternateContent>
      </w:r>
    </w:p>
    <w:p>
      <w:pPr>
        <w:spacing w:line="520" w:lineRule="exact"/>
        <w:ind w:firstLine="280" w:firstLineChars="100"/>
      </w:pPr>
      <w:r>
        <w:rPr>
          <w:rFonts w:eastAsia="仿宋_GB2312"/>
        </w:rPr>
        <mc:AlternateContent>
          <mc:Choice Requires="wps">
            <w:drawing>
              <wp:anchor distT="0" distB="0" distL="114300" distR="114300" simplePos="0" relativeHeight="251662336" behindDoc="0" locked="0" layoutInCell="1" allowOverlap="1">
                <wp:simplePos x="0" y="0"/>
                <wp:positionH relativeFrom="column">
                  <wp:posOffset>-88900</wp:posOffset>
                </wp:positionH>
                <wp:positionV relativeFrom="paragraph">
                  <wp:posOffset>384175</wp:posOffset>
                </wp:positionV>
                <wp:extent cx="5760085" cy="0"/>
                <wp:effectExtent l="0" t="0" r="0" b="0"/>
                <wp:wrapSquare wrapText="bothSides"/>
                <wp:docPr id="5" name="直线 8"/>
                <wp:cNvGraphicFramePr/>
                <a:graphic xmlns:a="http://schemas.openxmlformats.org/drawingml/2006/main">
                  <a:graphicData uri="http://schemas.microsoft.com/office/word/2010/wordprocessingShape">
                    <wps:wsp>
                      <wps:cNvCnPr/>
                      <wps:spPr>
                        <a:xfrm>
                          <a:off x="0" y="0"/>
                          <a:ext cx="57600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7pt;margin-top:30.25pt;height:0pt;width:453.55pt;mso-wrap-distance-bottom:0pt;mso-wrap-distance-left:9pt;mso-wrap-distance-right:9pt;mso-wrap-distance-top:0pt;z-index:251662336;mso-width-relative:page;mso-height-relative:page;" filled="f" stroked="t" coordsize="21600,21600" o:gfxdata="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TWJ2etcAAAAJAQAADwAAAAAAAAABACAAAAAiAAAAZHJz&#10;L2Rvd25yZXYueG1sUEsBAhQAFAAAAAgAh07iQNLwZVzMAQAAjQMAAA4AAAAAAAAAAQAgAAAAJgEA&#10;AGRycy9lMm9Eb2MueG1sUEsFBgAAAAAGAAYAWQEAAGQFAAAAAA==&#10;">
                <v:fill on="f" focussize="0,0"/>
                <v:stroke color="#000000" joinstyle="round"/>
                <v:imagedata o:title=""/>
                <o:lock v:ext="edit" aspectratio="f"/>
                <w10:wrap type="square"/>
              </v:line>
            </w:pict>
          </mc:Fallback>
        </mc:AlternateContent>
      </w:r>
      <w:r>
        <w:rPr>
          <w:rFonts w:eastAsia="仿宋_GB2312"/>
        </w:rPr>
        <w:t xml:space="preserve">陇川县环境保护局办公室　                 </w:t>
      </w:r>
      <w:r>
        <w:rPr>
          <w:rFonts w:hint="eastAsia" w:eastAsia="仿宋_GB2312"/>
          <w:lang w:val="en-US" w:eastAsia="zh-CN"/>
        </w:rPr>
        <w:t xml:space="preserve"> </w:t>
      </w:r>
      <w:r>
        <w:rPr>
          <w:rFonts w:hint="default" w:ascii="Times New Roman" w:hAnsi="Times New Roman" w:eastAsia="仿宋_GB2312" w:cs="Times New Roman"/>
        </w:rPr>
        <w:t>201</w:t>
      </w:r>
      <w:r>
        <w:rPr>
          <w:rFonts w:hint="default" w:ascii="Times New Roman" w:hAnsi="Times New Roman" w:eastAsia="仿宋_GB2312" w:cs="Times New Roman"/>
          <w:lang w:val="en-US" w:eastAsia="zh-CN"/>
        </w:rPr>
        <w:t>9</w:t>
      </w:r>
      <w:r>
        <w:rPr>
          <w:rFonts w:hint="default" w:ascii="Times New Roman" w:hAnsi="Times New Roman" w:eastAsia="仿宋_GB2312" w:cs="Times New Roman"/>
        </w:rPr>
        <w:t>年</w:t>
      </w:r>
      <w:r>
        <w:rPr>
          <w:rFonts w:hint="eastAsia" w:ascii="Times New Roman" w:hAnsi="Times New Roman" w:eastAsia="仿宋_GB2312" w:cs="Times New Roman"/>
          <w:lang w:val="en-US" w:eastAsia="zh-CN"/>
        </w:rPr>
        <w:t>3</w:t>
      </w:r>
      <w:r>
        <w:rPr>
          <w:rFonts w:hint="default" w:ascii="Times New Roman" w:hAnsi="Times New Roman" w:eastAsia="仿宋_GB2312" w:cs="Times New Roman"/>
        </w:rPr>
        <w:t>月</w:t>
      </w:r>
      <w:r>
        <w:rPr>
          <w:rFonts w:hint="eastAsia" w:ascii="Times New Roman" w:hAnsi="Times New Roman" w:eastAsia="仿宋_GB2312" w:cs="Times New Roman"/>
          <w:lang w:val="en-US" w:eastAsia="zh-CN"/>
        </w:rPr>
        <w:t>22</w:t>
      </w:r>
      <w:r>
        <w:rPr>
          <w:rFonts w:hint="default" w:ascii="Times New Roman" w:hAnsi="Times New Roman" w:eastAsia="仿宋_GB2312" w:cs="Times New Roman"/>
        </w:rPr>
        <w:t>日</w:t>
      </w:r>
      <w:r>
        <w:rPr>
          <w:rFonts w:eastAsia="仿宋_GB2312"/>
        </w:rPr>
        <w:t>印发</w:t>
      </w:r>
    </w:p>
    <w:sectPr>
      <w:headerReference r:id="rId3" w:type="default"/>
      <w:footerReference r:id="rId5" w:type="default"/>
      <w:headerReference r:id="rId4" w:type="even"/>
      <w:footerReference r:id="rId6" w:type="even"/>
      <w:pgSz w:w="11906" w:h="16838"/>
      <w:pgMar w:top="2098" w:right="1531" w:bottom="1985" w:left="1531" w:header="851" w:footer="1134" w:gutter="0"/>
      <w:cols w:space="720"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auto"/>
    <w:pitch w:val="default"/>
    <w:sig w:usb0="8000006F" w:usb1="1200FBEF" w:usb2="0064C000" w:usb3="00000002" w:csb0="00000001" w:csb1="4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altName w:val="宋体"/>
    <w:panose1 w:val="00000000000000000000"/>
    <w:charset w:val="86"/>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ind w:firstLine="280" w:firstLineChars="100"/>
      <w:jc w:val="right"/>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3</w:t>
    </w:r>
    <w:r>
      <w:rPr>
        <w:sz w:val="28"/>
        <w:szCs w:val="28"/>
      </w:rPr>
      <w:fldChar w:fldCharType="end"/>
    </w:r>
    <w:r>
      <w:rPr>
        <w:rStyle w:val="6"/>
        <w:rFonts w:hint="eastAsia"/>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2</w:t>
    </w:r>
    <w:r>
      <w:rPr>
        <w:sz w:val="28"/>
        <w:szCs w:val="28"/>
      </w:rPr>
      <w:fldChar w:fldCharType="end"/>
    </w:r>
    <w:r>
      <w:rPr>
        <w:rStyle w:val="6"/>
        <w:rFonts w:hint="eastAsia"/>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4200"/>
        <w:tab w:val="clear" w:pos="8306"/>
      </w:tabs>
      <w:jc w:val="left"/>
    </w:pP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23E7E6BA-9518-4EEA-9876-5BAD428C37D3}"/>
    <w:docVar w:name="DocumentName" w:val="陇环发文件头"/>
  </w:docVars>
  <w:rsids>
    <w:rsidRoot w:val="553E59FE"/>
    <w:rsid w:val="0C4E6BF8"/>
    <w:rsid w:val="0CA05243"/>
    <w:rsid w:val="159B1729"/>
    <w:rsid w:val="269D793A"/>
    <w:rsid w:val="2D364EB5"/>
    <w:rsid w:val="4EC820D0"/>
    <w:rsid w:val="553E59FE"/>
    <w:rsid w:val="5D2225F8"/>
    <w:rsid w:val="61F4177A"/>
    <w:rsid w:val="68975C09"/>
    <w:rsid w:val="7DF61B0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8"/>
      <w:szCs w:val="28"/>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4</Pages>
  <Words>1453</Words>
  <Characters>1538</Characters>
  <Lines>0</Lines>
  <Paragraphs>0</Paragraphs>
  <ScaleCrop>false</ScaleCrop>
  <LinksUpToDate>false</LinksUpToDate>
  <CharactersWithSpaces>1557</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2019-01-28T09:04:00Z</dcterms:created>
  <dc:creator>陇川县环境保护局</dc:creator>
  <cp:lastModifiedBy>Administrator</cp:lastModifiedBy>
  <dcterms:modified xsi:type="dcterms:W3CDTF">2019-08-26T03:15:51Z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