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spacing w:line="300" w:lineRule="exact"/>
        <w:rPr>
          <w:rFonts w:hint="eastAsia"/>
          <w:sz w:val="32"/>
          <w:szCs w:val="32"/>
        </w:rPr>
      </w:pPr>
    </w:p>
    <w:p>
      <w:pPr>
        <w:spacing w:line="300" w:lineRule="exact"/>
        <w:rPr>
          <w:rFonts w:hint="eastAsia"/>
          <w:sz w:val="32"/>
          <w:szCs w:val="32"/>
        </w:rPr>
      </w:pPr>
    </w:p>
    <w:p>
      <w:pPr>
        <w:tabs>
          <w:tab w:val="left" w:pos="6720"/>
        </w:tabs>
        <w:ind w:firstLine="480" w:firstLineChars="150"/>
        <w:jc w:val="center"/>
        <w:rPr>
          <w:rFonts w:hint="eastAsia" w:eastAsia="方正仿宋_GBK"/>
          <w:sz w:val="32"/>
          <w:szCs w:val="32"/>
        </w:rPr>
      </w:pPr>
      <w:r>
        <w:rPr>
          <w:rFonts w:eastAsia="方正仿宋_GBK"/>
          <w:sz w:val="32"/>
          <w:szCs w:val="32"/>
        </w:rPr>
        <w:t>陇</w:t>
      </w:r>
      <w:r>
        <w:rPr>
          <w:rFonts w:hint="eastAsia" w:eastAsia="方正仿宋_GBK"/>
          <w:sz w:val="32"/>
          <w:szCs w:val="32"/>
        </w:rPr>
        <w:t>环</w:t>
      </w:r>
      <w:r>
        <w:rPr>
          <w:rFonts w:eastAsia="方正仿宋_GBK"/>
          <w:sz w:val="32"/>
          <w:szCs w:val="32"/>
        </w:rPr>
        <w:t>发</w:t>
      </w:r>
      <w:r>
        <w:rPr>
          <w:rFonts w:hint="default" w:ascii="Times New Roman" w:hAnsi="Times New Roman" w:eastAsia="方正仿宋_GBK" w:cs="Times New Roman"/>
          <w:sz w:val="32"/>
          <w:szCs w:val="32"/>
        </w:rPr>
        <w:t>〔201</w:t>
      </w: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13</w:t>
      </w:r>
      <w:bookmarkStart w:id="0" w:name="_GoBack"/>
      <w:bookmarkEnd w:id="0"/>
      <w:r>
        <w:rPr>
          <w:rFonts w:eastAsia="方正仿宋_GBK"/>
          <w:sz w:val="32"/>
          <w:szCs w:val="32"/>
        </w:rPr>
        <w:t>号</w:t>
      </w:r>
    </w:p>
    <w:p>
      <w:pPr>
        <w:snapToGrid w:val="0"/>
        <w:spacing w:line="600" w:lineRule="exact"/>
        <w:jc w:val="center"/>
        <w:rPr>
          <w:rFonts w:eastAsia="方正小标宋_GBK"/>
          <w:sz w:val="44"/>
          <w:szCs w:val="44"/>
        </w:rPr>
      </w:pPr>
    </w:p>
    <w:p>
      <w:pPr>
        <w:snapToGrid w:val="0"/>
        <w:spacing w:line="600" w:lineRule="exact"/>
        <w:jc w:val="center"/>
        <w:rPr>
          <w:rFonts w:ascii="Times New Roman" w:hAnsi="Times New Roman" w:eastAsia="方正小标宋_GBK"/>
          <w:sz w:val="44"/>
          <w:szCs w:val="44"/>
        </w:rPr>
      </w:pPr>
      <w:r>
        <w:rPr>
          <w:rFonts w:ascii="Times New Roman" w:hAnsi="Times New Roman" w:eastAsia="方正小标宋_GBK"/>
          <w:sz w:val="44"/>
          <w:szCs w:val="44"/>
        </w:rPr>
        <w:t>陇川县环境保护局关于对云南阿丽糖业有限</w:t>
      </w:r>
    </w:p>
    <w:p>
      <w:pPr>
        <w:snapToGrid w:val="0"/>
        <w:spacing w:line="600" w:lineRule="exact"/>
        <w:jc w:val="center"/>
        <w:rPr>
          <w:rFonts w:ascii="Times New Roman" w:hAnsi="Times New Roman" w:eastAsia="方正小标宋_GBK"/>
          <w:sz w:val="44"/>
          <w:szCs w:val="44"/>
        </w:rPr>
      </w:pPr>
      <w:r>
        <w:rPr>
          <w:rFonts w:ascii="Times New Roman" w:hAnsi="Times New Roman" w:eastAsia="方正小标宋_GBK"/>
          <w:sz w:val="44"/>
          <w:szCs w:val="44"/>
        </w:rPr>
        <w:t>公司建设项目环境影响报告表的批复</w:t>
      </w:r>
    </w:p>
    <w:p>
      <w:pPr>
        <w:snapToGrid w:val="0"/>
        <w:spacing w:line="560" w:lineRule="exact"/>
        <w:rPr>
          <w:rFonts w:ascii="Times New Roman" w:hAnsi="Times New Roman" w:eastAsia="方正仿宋_GBK"/>
          <w:sz w:val="32"/>
          <w:szCs w:val="32"/>
        </w:rPr>
      </w:pPr>
    </w:p>
    <w:p>
      <w:pPr>
        <w:snapToGrid w:val="0"/>
        <w:spacing w:line="560" w:lineRule="exact"/>
        <w:rPr>
          <w:rFonts w:ascii="Times New Roman" w:hAnsi="Times New Roman" w:eastAsia="方正仿宋_GBK"/>
          <w:sz w:val="32"/>
          <w:szCs w:val="32"/>
        </w:rPr>
      </w:pPr>
      <w:r>
        <w:rPr>
          <w:rFonts w:ascii="Times New Roman" w:hAnsi="Times New Roman" w:eastAsia="方正仿宋_GBK"/>
          <w:sz w:val="32"/>
          <w:szCs w:val="32"/>
        </w:rPr>
        <w:t>云南阿丽糖业有限公司：</w:t>
      </w:r>
    </w:p>
    <w:p>
      <w:pPr>
        <w:snapToGrid w:val="0"/>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你单位报批的《云南阿丽糖业有限公司建设项目环境影响报告表》已收悉，结合2018年2月7日技术审查结果，经我局认真审阅《报告表》（报批稿）现批复如下：</w:t>
      </w:r>
    </w:p>
    <w:p>
      <w:pPr>
        <w:snapToGrid w:val="0"/>
        <w:spacing w:line="56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一、项目工程概况及背景</w:t>
      </w:r>
    </w:p>
    <w:p>
      <w:pPr>
        <w:spacing w:line="560" w:lineRule="exact"/>
        <w:ind w:firstLine="640" w:firstLineChars="200"/>
        <w:rPr>
          <w:rFonts w:ascii="Times New Roman" w:hAnsi="Times New Roman" w:eastAsia="方正仿宋_GBK"/>
          <w:color w:val="FF0000"/>
          <w:sz w:val="32"/>
          <w:szCs w:val="32"/>
        </w:rPr>
      </w:pPr>
      <w:r>
        <w:rPr>
          <w:rFonts w:ascii="Times New Roman" w:hAnsi="Times New Roman" w:eastAsia="方正仿宋_GBK"/>
          <w:sz w:val="32"/>
          <w:szCs w:val="32"/>
        </w:rPr>
        <w:t>云南阿丽糖业有限公司建设项目，位于陇川县陇把镇农场光相分场三队，厂区中心地理位置坐标为N24°16'46"、E97°48'39"。项目占地面积5333.28m</w:t>
      </w:r>
      <w:r>
        <w:rPr>
          <w:rFonts w:ascii="Times New Roman" w:hAnsi="Times New Roman" w:eastAsia="方正仿宋_GBK"/>
          <w:sz w:val="32"/>
          <w:szCs w:val="32"/>
          <w:vertAlign w:val="superscript"/>
        </w:rPr>
        <w:t>2</w:t>
      </w:r>
      <w:r>
        <w:rPr>
          <w:rFonts w:ascii="Times New Roman" w:hAnsi="Times New Roman" w:eastAsia="方正仿宋_GBK"/>
          <w:sz w:val="32"/>
          <w:szCs w:val="32"/>
        </w:rPr>
        <w:t>，项目总投资510万元，其中环保投资32.05万元。建设生产生产冰糖（多晶和单晶）27000t/a、红糖3600t/a、棉糖5400t/a，总生产能力为36000t/a，主要建设内容有生产车间、包装间、成品间、原料仓库、办公室、卫生间、锅炉房等。</w:t>
      </w:r>
    </w:p>
    <w:p>
      <w:pPr>
        <w:spacing w:line="56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二、审批意见</w:t>
      </w:r>
    </w:p>
    <w:p>
      <w:pPr>
        <w:adjustRightInd w:val="0"/>
        <w:snapToGrid w:val="0"/>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该项目符合国家产业政策，《报告表》中的工程概况介绍清楚，项目分析与环境影响源的识别基本上反映了项目特性，基本阐明了项目环保工程的合理性。据环评单位调查及业主反馈该项目不涉及自然保护区、风景名胜区、水源地、生态敏感区和军事设施，没有珍稀濒危保护动植物分布，未发现文物古迹、名木古树等重要保护单位。经我局研究，同意该项目按照《报告表》中的性质、规模、地点、工艺和环境保护对策进行建设。</w:t>
      </w:r>
    </w:p>
    <w:p>
      <w:pPr>
        <w:spacing w:line="56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三、项目建设及运营过程中应重点做好的工作</w:t>
      </w:r>
    </w:p>
    <w:p>
      <w:pPr>
        <w:snapToGrid w:val="0"/>
        <w:spacing w:line="560" w:lineRule="exact"/>
        <w:ind w:firstLine="640" w:firstLineChars="200"/>
        <w:rPr>
          <w:rFonts w:ascii="Times New Roman" w:hAnsi="Times New Roman" w:eastAsia="方正楷体_GBK"/>
          <w:sz w:val="32"/>
          <w:szCs w:val="32"/>
        </w:rPr>
      </w:pPr>
      <w:r>
        <w:rPr>
          <w:rFonts w:hint="eastAsia" w:ascii="Times New Roman" w:hAnsi="Times New Roman" w:eastAsia="方正楷体_GBK"/>
          <w:sz w:val="32"/>
          <w:szCs w:val="32"/>
        </w:rPr>
        <w:t>（一）严格执行</w:t>
      </w:r>
      <w:r>
        <w:rPr>
          <w:rFonts w:ascii="Times New Roman" w:hAnsi="Times New Roman" w:eastAsia="方正楷体_GBK"/>
          <w:sz w:val="32"/>
          <w:szCs w:val="32"/>
        </w:rPr>
        <w:t>“</w:t>
      </w:r>
      <w:r>
        <w:rPr>
          <w:rFonts w:hint="eastAsia" w:ascii="Times New Roman" w:hAnsi="Times New Roman" w:eastAsia="方正楷体_GBK"/>
          <w:sz w:val="32"/>
          <w:szCs w:val="32"/>
        </w:rPr>
        <w:t>三同时</w:t>
      </w:r>
      <w:r>
        <w:rPr>
          <w:rFonts w:ascii="Times New Roman" w:hAnsi="Times New Roman" w:eastAsia="方正楷体_GBK"/>
          <w:sz w:val="32"/>
          <w:szCs w:val="32"/>
        </w:rPr>
        <w:t>”</w:t>
      </w:r>
      <w:r>
        <w:rPr>
          <w:rFonts w:hint="eastAsia" w:ascii="Times New Roman" w:hAnsi="Times New Roman" w:eastAsia="方正楷体_GBK"/>
          <w:sz w:val="32"/>
          <w:szCs w:val="32"/>
        </w:rPr>
        <w:t>制度，认真落实《报告表》提出的各项环保工程措施，确保各项污染物达标排放。</w:t>
      </w:r>
    </w:p>
    <w:p>
      <w:pPr>
        <w:snapToGrid w:val="0"/>
        <w:spacing w:line="560" w:lineRule="exact"/>
        <w:ind w:firstLine="640" w:firstLineChars="200"/>
        <w:rPr>
          <w:rFonts w:ascii="Times New Roman" w:hAnsi="Times New Roman" w:eastAsia="方正楷体_GBK"/>
          <w:sz w:val="32"/>
          <w:szCs w:val="32"/>
        </w:rPr>
      </w:pPr>
      <w:r>
        <w:rPr>
          <w:rFonts w:hint="eastAsia" w:ascii="Times New Roman" w:hAnsi="Times New Roman" w:eastAsia="方正楷体_GBK"/>
          <w:sz w:val="32"/>
          <w:szCs w:val="32"/>
        </w:rPr>
        <w:t>（二）不断改善提高污染防治工程措施，从源头减少各项污染物的产生量，在末端加大污染物的削减量。</w:t>
      </w:r>
    </w:p>
    <w:p>
      <w:pPr>
        <w:snapToGrid w:val="0"/>
        <w:spacing w:line="560" w:lineRule="exact"/>
        <w:ind w:firstLine="640" w:firstLineChars="200"/>
        <w:rPr>
          <w:rFonts w:ascii="Times New Roman" w:hAnsi="Times New Roman" w:eastAsia="方正楷体_GBK"/>
          <w:sz w:val="32"/>
          <w:szCs w:val="32"/>
        </w:rPr>
      </w:pPr>
      <w:r>
        <w:rPr>
          <w:rFonts w:hint="eastAsia" w:ascii="Times New Roman" w:hAnsi="Times New Roman" w:eastAsia="方正楷体_GBK"/>
          <w:sz w:val="32"/>
          <w:szCs w:val="32"/>
        </w:rPr>
        <w:t>（三）加强施工期道路、场地等扬尘的防控，规范收集施工废水、生活污水并有效进行综合利用，或经处理后达标排放。</w:t>
      </w:r>
    </w:p>
    <w:p>
      <w:pPr>
        <w:snapToGrid w:val="0"/>
        <w:spacing w:line="560" w:lineRule="exact"/>
        <w:ind w:firstLine="640" w:firstLineChars="200"/>
        <w:rPr>
          <w:rFonts w:ascii="Times New Roman" w:hAnsi="Times New Roman" w:eastAsia="方正楷体_GBK"/>
          <w:sz w:val="32"/>
          <w:szCs w:val="32"/>
        </w:rPr>
      </w:pPr>
      <w:r>
        <w:rPr>
          <w:rFonts w:hint="eastAsia" w:ascii="Times New Roman" w:hAnsi="Times New Roman" w:eastAsia="方正楷体_GBK"/>
          <w:sz w:val="32"/>
          <w:szCs w:val="32"/>
        </w:rPr>
        <w:t>（四）必须认真落实雨污分流工程，生产废水和生活污水分别全部收集经自建小型污水处理站处理达《污水综合排放标准》（</w:t>
      </w:r>
      <w:r>
        <w:rPr>
          <w:rFonts w:ascii="Times New Roman" w:hAnsi="Times New Roman" w:eastAsia="方正楷体_GBK"/>
          <w:sz w:val="32"/>
          <w:szCs w:val="32"/>
        </w:rPr>
        <w:t>GB8978-1996</w:t>
      </w:r>
      <w:r>
        <w:rPr>
          <w:rFonts w:hint="eastAsia" w:ascii="Times New Roman" w:hAnsi="Times New Roman" w:eastAsia="方正楷体_GBK"/>
          <w:sz w:val="32"/>
          <w:szCs w:val="32"/>
        </w:rPr>
        <w:t>）一级排放标准后外排。</w:t>
      </w:r>
    </w:p>
    <w:p>
      <w:pPr>
        <w:snapToGrid w:val="0"/>
        <w:spacing w:line="560" w:lineRule="exact"/>
        <w:ind w:firstLine="640" w:firstLineChars="200"/>
        <w:rPr>
          <w:rFonts w:ascii="Times New Roman" w:hAnsi="Times New Roman" w:eastAsia="方正楷体_GBK"/>
          <w:sz w:val="32"/>
          <w:szCs w:val="32"/>
        </w:rPr>
      </w:pPr>
      <w:r>
        <w:rPr>
          <w:rFonts w:hint="eastAsia" w:ascii="Times New Roman" w:hAnsi="Times New Roman" w:eastAsia="方正楷体_GBK"/>
          <w:sz w:val="32"/>
          <w:szCs w:val="32"/>
        </w:rPr>
        <w:t>（五）加强锅炉烟气及异味的污染防治，杜绝烟气及异味污染影响厂区内外环境。</w:t>
      </w:r>
    </w:p>
    <w:p>
      <w:pPr>
        <w:snapToGrid w:val="0"/>
        <w:spacing w:line="560" w:lineRule="exact"/>
        <w:ind w:firstLine="640" w:firstLineChars="200"/>
        <w:rPr>
          <w:rFonts w:ascii="Times New Roman" w:hAnsi="Times New Roman" w:eastAsia="方正楷体_GBK"/>
          <w:sz w:val="32"/>
          <w:szCs w:val="32"/>
        </w:rPr>
      </w:pPr>
      <w:r>
        <w:rPr>
          <w:sz w:val="32"/>
        </w:rPr>
        <mc:AlternateContent>
          <mc:Choice Requires="wps">
            <w:drawing>
              <wp:anchor distT="0" distB="0" distL="114300" distR="114300" simplePos="0" relativeHeight="251664384"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6" name="KGD_Gobal1" descr="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"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" style="position:absolute;left:0pt;margin-left:-86.55pt;margin-top:-94.9pt;height:5pt;width:5pt;visibility:hidden;z-index:251664384;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">
                <v:fill on="t" focussize="0,0"/>
                <v:stroke weight="1pt" color="#41719C [3204]" miterlimit="8" joinstyle="miter"/>
                <v:imagedata o:title=""/>
                <o:lock v:ext="edit" aspectratio="f"/>
              </v:rect>
            </w:pict>
          </mc:Fallback>
        </mc:AlternateContent>
      </w:r>
      <w:r>
        <w:rPr>
          <w:rFonts w:hint="eastAsia" w:ascii="Times New Roman" w:hAnsi="Times New Roman" w:eastAsia="方正楷体_GBK"/>
          <w:sz w:val="32"/>
          <w:szCs w:val="32"/>
        </w:rPr>
        <w:t>（六）</w:t>
      </w:r>
      <w:r>
        <w:rPr>
          <w:rFonts w:hint="eastAsia" w:eastAsia="方正楷体_GBK"/>
          <w:sz w:val="32"/>
          <w:szCs w:val="32"/>
        </w:rPr>
        <w:t>施工期及运营期产生的固体废弃物必须妥善收集暂存，尽可能资源化回收综合利用，确实不能综合利用的要及时清运至相关部门指定的地点妥善处理、处置，不得随意堆弃。</w:t>
      </w:r>
      <w:r>
        <w:rPr>
          <w:rFonts w:hint="eastAsia" w:ascii="方正楷体_GBK" w:eastAsia="方正楷体_GBK"/>
          <w:sz w:val="32"/>
          <w:szCs w:val="32"/>
        </w:rPr>
        <w:t>建议从源头进行固体废弃物分类，以及设置防雨防渗的永久性废弃电池收集箱或收集池。</w:t>
      </w:r>
    </w:p>
    <w:p>
      <w:pPr>
        <w:snapToGrid w:val="0"/>
        <w:spacing w:line="560" w:lineRule="exact"/>
        <w:ind w:firstLine="640" w:firstLineChars="200"/>
        <w:rPr>
          <w:rFonts w:ascii="Times New Roman" w:hAnsi="Times New Roman" w:eastAsia="方正楷体_GBK"/>
          <w:sz w:val="32"/>
          <w:szCs w:val="32"/>
        </w:rPr>
      </w:pPr>
      <w:r>
        <w:rPr>
          <w:rFonts w:hint="eastAsia" w:ascii="Times New Roman" w:hAnsi="Times New Roman" w:eastAsia="方正楷体_GBK"/>
          <w:sz w:val="32"/>
          <w:szCs w:val="32"/>
        </w:rPr>
        <w:t>（七）严格按照《报告表》中提出的噪声防治措施，落实隔声、减震、绿化等措施，确保运营期噪声能够达到《工业企业厂界环境噪声排放标准》（</w:t>
      </w:r>
      <w:r>
        <w:rPr>
          <w:rFonts w:ascii="Times New Roman" w:hAnsi="Times New Roman" w:eastAsia="方正楷体_GBK"/>
          <w:sz w:val="32"/>
          <w:szCs w:val="32"/>
        </w:rPr>
        <w:t>GB12348-2008</w:t>
      </w:r>
      <w:r>
        <w:rPr>
          <w:rFonts w:hint="eastAsia" w:ascii="Times New Roman" w:hAnsi="Times New Roman" w:eastAsia="方正楷体_GBK"/>
          <w:sz w:val="32"/>
          <w:szCs w:val="32"/>
        </w:rPr>
        <w:t>）</w:t>
      </w:r>
      <w:r>
        <w:rPr>
          <w:rFonts w:ascii="Times New Roman" w:hAnsi="Times New Roman" w:eastAsia="方正楷体_GBK"/>
          <w:sz w:val="32"/>
          <w:szCs w:val="32"/>
        </w:rPr>
        <w:t>2</w:t>
      </w:r>
      <w:r>
        <w:rPr>
          <w:rFonts w:hint="eastAsia" w:ascii="Times New Roman" w:hAnsi="Times New Roman" w:eastAsia="方正楷体_GBK"/>
          <w:sz w:val="32"/>
          <w:szCs w:val="32"/>
        </w:rPr>
        <w:t>类标准限值。合理安排噪声较大的施工、生产时段，应控制在</w:t>
      </w:r>
      <w:r>
        <w:rPr>
          <w:rFonts w:ascii="Times New Roman" w:hAnsi="Times New Roman" w:eastAsia="方正楷体_GBK"/>
          <w:sz w:val="32"/>
          <w:szCs w:val="32"/>
        </w:rPr>
        <w:t>8</w:t>
      </w:r>
      <w:r>
        <w:rPr>
          <w:rFonts w:hint="eastAsia" w:ascii="Times New Roman" w:hAnsi="Times New Roman" w:eastAsia="方正楷体_GBK"/>
          <w:sz w:val="32"/>
          <w:szCs w:val="32"/>
        </w:rPr>
        <w:t>时</w:t>
      </w:r>
      <w:r>
        <w:rPr>
          <w:rFonts w:ascii="Times New Roman" w:hAnsi="Times New Roman" w:eastAsia="方正楷体_GBK"/>
          <w:sz w:val="32"/>
          <w:szCs w:val="32"/>
        </w:rPr>
        <w:t>-12</w:t>
      </w:r>
      <w:r>
        <w:rPr>
          <w:rFonts w:hint="eastAsia" w:ascii="Times New Roman" w:hAnsi="Times New Roman" w:eastAsia="方正楷体_GBK"/>
          <w:sz w:val="32"/>
          <w:szCs w:val="32"/>
        </w:rPr>
        <w:t>时、</w:t>
      </w:r>
      <w:r>
        <w:rPr>
          <w:rFonts w:ascii="Times New Roman" w:hAnsi="Times New Roman" w:eastAsia="方正楷体_GBK"/>
          <w:sz w:val="32"/>
          <w:szCs w:val="32"/>
        </w:rPr>
        <w:t>14</w:t>
      </w:r>
      <w:r>
        <w:rPr>
          <w:rFonts w:hint="eastAsia" w:ascii="Times New Roman" w:hAnsi="Times New Roman" w:eastAsia="方正楷体_GBK"/>
          <w:sz w:val="32"/>
          <w:szCs w:val="32"/>
        </w:rPr>
        <w:t>时</w:t>
      </w:r>
      <w:r>
        <w:rPr>
          <w:rFonts w:ascii="Times New Roman" w:hAnsi="Times New Roman" w:eastAsia="方正楷体_GBK"/>
          <w:sz w:val="32"/>
          <w:szCs w:val="32"/>
        </w:rPr>
        <w:t>-20</w:t>
      </w:r>
      <w:r>
        <w:rPr>
          <w:rFonts w:hint="eastAsia" w:ascii="Times New Roman" w:hAnsi="Times New Roman" w:eastAsia="方正楷体_GBK"/>
          <w:sz w:val="32"/>
          <w:szCs w:val="32"/>
        </w:rPr>
        <w:t>时的范围内。当由于施工或生产工艺要求或其他原因，必须在午间及夜间休息时段连续作业时，项目单位要在</w:t>
      </w:r>
      <w:r>
        <w:rPr>
          <w:rFonts w:ascii="Times New Roman" w:hAnsi="Times New Roman" w:eastAsia="方正楷体_GBK"/>
          <w:sz w:val="32"/>
          <w:szCs w:val="32"/>
        </w:rPr>
        <w:t>15</w:t>
      </w:r>
      <w:r>
        <w:rPr>
          <w:rFonts w:hint="eastAsia" w:ascii="Times New Roman" w:hAnsi="Times New Roman" w:eastAsia="方正楷体_GBK"/>
          <w:sz w:val="32"/>
          <w:szCs w:val="32"/>
        </w:rPr>
        <w:t>日前向当地环境保护行政主管部门申报，并通报社区居民等相关方，争取得到社区及相关方的认可和谅解。</w:t>
      </w:r>
    </w:p>
    <w:p>
      <w:pPr>
        <w:pStyle w:val="8"/>
        <w:widowControl/>
        <w:shd w:val="clear" w:color="auto" w:fill="FFFFFF"/>
        <w:spacing w:line="360" w:lineRule="auto"/>
        <w:ind w:firstLine="640" w:firstLineChars="200"/>
        <w:rPr>
          <w:rFonts w:ascii="Times New Roman" w:hAnsi="Times New Roman" w:eastAsia="方正楷体_GBK"/>
          <w:sz w:val="32"/>
          <w:szCs w:val="32"/>
        </w:rPr>
      </w:pPr>
      <w:r>
        <w:rPr>
          <w:rFonts w:hint="eastAsia" w:ascii="Times New Roman" w:hAnsi="Times New Roman" w:eastAsia="方正楷体_GBK"/>
          <w:sz w:val="32"/>
          <w:szCs w:val="32"/>
        </w:rPr>
        <w:t>（八）</w:t>
      </w:r>
      <w:r>
        <w:rPr>
          <w:rFonts w:hint="eastAsia" w:eastAsia="方正楷体_GBK"/>
          <w:color w:val="000000"/>
          <w:sz w:val="32"/>
          <w:szCs w:val="32"/>
        </w:rPr>
        <w:t>建立健全污染防治设施运行、管理、维护机制，设专人负责各项环保工程设施的运行维护，以及监控污染物产排情况。确保污染防治设施安全稳定运行，各项污染物达标排放，防范环境污染事故发生</w:t>
      </w:r>
      <w:r>
        <w:rPr>
          <w:rFonts w:hint="eastAsia" w:ascii="Times New Roman" w:hAnsi="Times New Roman" w:eastAsia="方正楷体_GBK"/>
          <w:sz w:val="32"/>
          <w:szCs w:val="32"/>
        </w:rPr>
        <w:t>。</w:t>
      </w:r>
    </w:p>
    <w:p>
      <w:pPr>
        <w:spacing w:line="56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四、严格按照《报告表》中工艺、规模进行建设，认真落实环保资金的投入，严格按《报告表》提出的环保投资概算执行，认真落实各项环保工程措施；建立健全环境管理工作机制，明确责任人及职责；按报告要求开展施工期与运营期环境监察及环境监测工作。</w:t>
      </w:r>
    </w:p>
    <w:p>
      <w:pPr>
        <w:spacing w:line="56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五、项目建成后，根据《建设项目环境保护管理条例》及《建设项目竣工环境保护验收管理办法》等有关规定进行试生产及环境保护竣工验收。试生产前需向环评审批单位报告试生产时间，在试生产期间需完成竣工环境保护验收工作，通过竣工环境保护验收方可投入正式生产运营。</w:t>
      </w:r>
    </w:p>
    <w:p>
      <w:pPr>
        <w:spacing w:line="56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六、建设项目的性质、规模、地点、采用的生产工艺或者防治污染、防止生态破坏的措施发生重大变动时，建设单位应当重新报批建设项目的环境影响评价文件。</w:t>
      </w:r>
    </w:p>
    <w:p>
      <w:pPr>
        <w:snapToGrid w:val="0"/>
        <w:spacing w:line="560" w:lineRule="exact"/>
        <w:ind w:firstLine="640" w:firstLineChars="200"/>
        <w:jc w:val="right"/>
        <w:rPr>
          <w:rFonts w:ascii="Times New Roman" w:hAnsi="Times New Roman" w:eastAsia="方正仿宋_GBK"/>
          <w:sz w:val="32"/>
          <w:szCs w:val="32"/>
        </w:rPr>
      </w:pPr>
    </w:p>
    <w:p>
      <w:pPr>
        <w:snapToGrid w:val="0"/>
        <w:spacing w:line="560" w:lineRule="exact"/>
        <w:ind w:firstLine="640" w:firstLineChars="200"/>
        <w:jc w:val="right"/>
        <w:rPr>
          <w:rFonts w:ascii="Times New Roman" w:hAnsi="Times New Roman" w:eastAsia="方正仿宋_GBK"/>
          <w:sz w:val="32"/>
          <w:szCs w:val="32"/>
        </w:rPr>
      </w:pPr>
      <w:r>
        <w:rPr>
          <w:rFonts w:ascii="Times New Roman" w:hAnsi="Times New Roman" w:eastAsia="方正仿宋_GBK"/>
          <w:sz w:val="32"/>
          <w:szCs w:val="32"/>
        </w:rPr>
        <w:t>陇川县环境保护局</w:t>
      </w:r>
    </w:p>
    <w:p>
      <w:pPr>
        <w:snapToGrid w:val="0"/>
        <w:spacing w:line="560" w:lineRule="exact"/>
        <w:ind w:firstLine="640" w:firstLineChars="200"/>
        <w:jc w:val="right"/>
        <w:rPr>
          <w:rFonts w:ascii="Times New Roman" w:hAnsi="Times New Roman" w:eastAsia="方正仿宋_GBK"/>
        </w:rPr>
      </w:pPr>
      <w:r>
        <w:rPr>
          <w:rFonts w:ascii="Times New Roman" w:hAnsi="Times New Roman" w:eastAsia="方正仿宋_GBK"/>
          <w:sz w:val="32"/>
          <w:szCs w:val="32"/>
        </w:rPr>
        <w:t>201</w:t>
      </w:r>
      <w:r>
        <w:rPr>
          <w:rFonts w:hint="eastAsia" w:ascii="Times New Roman" w:hAnsi="Times New Roman" w:eastAsia="方正仿宋_GBK"/>
          <w:sz w:val="32"/>
          <w:szCs w:val="32"/>
        </w:rPr>
        <w:t>9</w:t>
      </w:r>
      <w:r>
        <w:rPr>
          <w:rFonts w:ascii="Times New Roman" w:hAnsi="Times New Roman" w:eastAsia="方正仿宋_GBK"/>
          <w:sz w:val="32"/>
          <w:szCs w:val="32"/>
        </w:rPr>
        <w:t>年</w:t>
      </w:r>
      <w:r>
        <w:rPr>
          <w:rFonts w:hint="eastAsia" w:ascii="Times New Roman" w:hAnsi="Times New Roman" w:eastAsia="方正仿宋_GBK"/>
          <w:sz w:val="32"/>
          <w:szCs w:val="32"/>
        </w:rPr>
        <w:t>3</w:t>
      </w:r>
      <w:r>
        <w:rPr>
          <w:rFonts w:ascii="Times New Roman" w:hAnsi="Times New Roman" w:eastAsia="方正仿宋_GBK"/>
          <w:sz w:val="32"/>
          <w:szCs w:val="32"/>
        </w:rPr>
        <w:t>月</w:t>
      </w:r>
      <w:r>
        <w:rPr>
          <w:rFonts w:hint="eastAsia" w:ascii="Times New Roman" w:hAnsi="Times New Roman" w:eastAsia="方正仿宋_GBK"/>
          <w:sz w:val="32"/>
          <w:szCs w:val="32"/>
        </w:rPr>
        <w:t>6</w:t>
      </w:r>
      <w:r>
        <w:rPr>
          <w:rFonts w:ascii="Times New Roman" w:hAnsi="Times New Roman" w:eastAsia="方正仿宋_GBK"/>
          <w:sz w:val="32"/>
          <w:szCs w:val="32"/>
        </w:rPr>
        <w:t>日</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right"/>
        <w:textAlignment w:val="auto"/>
        <w:outlineLvl w:val="9"/>
        <w:rPr>
          <w:rFonts w:hint="eastAsia" w:ascii="方正仿宋_GBK" w:hAnsi="方正仿宋_GBK" w:eastAsia="方正仿宋_GBK" w:cs="方正仿宋_GBK"/>
          <w:sz w:val="32"/>
          <w:szCs w:val="32"/>
        </w:rPr>
      </w:pPr>
    </w:p>
    <w:p>
      <w:pPr>
        <w:snapToGrid w:val="0"/>
        <w:spacing w:line="560" w:lineRule="exact"/>
        <w:ind w:firstLine="640" w:firstLineChars="200"/>
        <w:jc w:val="center"/>
        <w:rPr>
          <w:rFonts w:hint="eastAsia" w:eastAsia="方正仿宋_GBK"/>
          <w:sz w:val="32"/>
          <w:szCs w:val="32"/>
          <w:lang w:val="en-US" w:eastAsia="zh-CN"/>
        </w:rPr>
      </w:pPr>
      <w:r>
        <w:rPr>
          <w:sz w:val="32"/>
        </w:rPr>
        <mc:AlternateContent>
          <mc:Choice Requires="wps">
            <w:drawing>
              <wp:anchor distT="0" distB="0" distL="114300" distR="114300" simplePos="0" relativeHeight="251658240" behindDoc="1" locked="0" layoutInCell="1" hidden="1" allowOverlap="1">
                <wp:simplePos x="0" y="0"/>
                <wp:positionH relativeFrom="column">
                  <wp:posOffset>-4752340</wp:posOffset>
                </wp:positionH>
                <wp:positionV relativeFrom="paragraph">
                  <wp:posOffset>-7389495</wp:posOffset>
                </wp:positionV>
                <wp:extent cx="15120620" cy="21384260"/>
                <wp:effectExtent l="0" t="0" r="0" b="0"/>
                <wp:wrapNone/>
                <wp:docPr id="3" name="KG_Shd_3" hidden="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shade val="50000"/>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3" o:spid="_x0000_s1026" o:spt="1" style="position:absolute;left:0pt;margin-left:-374.2pt;margin-top:-581.85pt;height:1683.8pt;width:1190.6pt;visibility:hidden;z-index:-251658240;v-text-anchor:middle;mso-width-relative:page;mso-height-relative:page;" fillcolor="#FFFFFF" filled="t" stroked="t" coordsize="21600,21600" o:gfxdata="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Cehh1M3AAAABABAAAPAAAAAAAAAAEAIAAAACIAAABkcnMvZG93bnJldi54&#10;bWxQSwECFAAUAAAACACHTuJAeF+wTmgCAAAEBQAADgAAAAAAAAABACAAAAArAQAAZHJzL2Uyb0Rv&#10;Yy54bWxQSwUGAAAAAAYABgBZAQAABQYAAAAA&#10;">
                <v:fill on="t" opacity="0f" focussize="0,0"/>
                <v:stroke weight="1pt" color="#BCBCBC [3204]" opacity="0f" miterlimit="8" joinstyle="miter"/>
                <v:imagedata o:title=""/>
                <o:lock v:ext="edit" aspectratio="f"/>
              </v:rect>
            </w:pict>
          </mc:Fallback>
        </mc:AlternateContent>
      </w:r>
      <w:r>
        <w:rPr>
          <w:sz w:val="32"/>
        </w:rPr>
        <mc:AlternateContent>
          <mc:Choice Requires="wps">
            <w:drawing>
              <wp:anchor distT="0" distB="0" distL="114300" distR="114300" simplePos="0" relativeHeight="251656192" behindDoc="1" locked="0" layoutInCell="1" hidden="1" allowOverlap="1">
                <wp:simplePos x="0" y="0"/>
                <wp:positionH relativeFrom="column">
                  <wp:posOffset>-3780155</wp:posOffset>
                </wp:positionH>
                <wp:positionV relativeFrom="paragraph">
                  <wp:posOffset>-5346065</wp:posOffset>
                </wp:positionV>
                <wp:extent cx="15120620" cy="21384260"/>
                <wp:effectExtent l="0" t="0" r="0" b="0"/>
                <wp:wrapNone/>
                <wp:docPr id="8" name="KG_Shd_5" hidden="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w="9525" cap="flat" cmpd="sng">
                          <a:solidFill>
                            <a:srgbClr val="FFFFFF">
                              <a:alpha val="0"/>
                            </a:srgbClr>
                          </a:solidFill>
                          <a:prstDash val="solid"/>
                          <a:miter/>
                          <a:headEnd type="none" w="med" len="med"/>
                          <a:tailEnd type="none" w="med" len="med"/>
                        </a:ln>
                      </wps:spPr>
                      <wps:bodyPr upright="1"/>
                    </wps:wsp>
                  </a:graphicData>
                </a:graphic>
              </wp:anchor>
            </w:drawing>
          </mc:Choice>
          <mc:Fallback>
            <w:pict>
              <v:rect id="KG_Shd_5" o:spid="_x0000_s1026" o:spt="1" style="position:absolute;left:0pt;margin-left:-297.65pt;margin-top:-420.95pt;height:1683.8pt;width:1190.6pt;visibility:hidden;z-index:-251660288;mso-width-relative:page;mso-height-relative:page;" fillcolor="#FFFFFF" filled="t" stroked="t" coordsize="21600,21600" o:gfxdata="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LJeBfZ&#10;AAAADwEAAA8AAAAAAAAAAQAgAAAAIgAAAGRycy9kb3ducmV2LnhtbFBLAQIUABQAAAAIAIdO4kBs&#10;1InZ5gEAABgEAAAOAAAAAAAAAAEAIAAAACgBAABkcnMvZTJvRG9jLnhtbFBLBQYAAAAABgAGAFkB&#10;AACABQAAAAA=&#10;">
                <v:fill on="t" opacity="0f" focussize="0,0"/>
                <v:stroke color="#FFFFFF" opacity="0f" joinstyle="miter"/>
                <v:imagedata o:title=""/>
                <o:lock v:ext="edit" aspectratio="f"/>
              </v:rect>
            </w:pict>
          </mc:Fallback>
        </mc:AlternateContent>
      </w:r>
      <w:r>
        <w:rPr>
          <w:sz w:val="32"/>
        </w:rPr>
        <mc:AlternateContent>
          <mc:Choice Requires="wps">
            <w:drawing>
              <wp:anchor distT="0" distB="0" distL="114300" distR="114300" simplePos="0" relativeHeight="251657216" behindDoc="1" locked="0" layoutInCell="1" hidden="1" allowOverlap="1">
                <wp:simplePos x="0" y="0"/>
                <wp:positionH relativeFrom="column">
                  <wp:posOffset>-3780155</wp:posOffset>
                </wp:positionH>
                <wp:positionV relativeFrom="paragraph">
                  <wp:posOffset>-5346065</wp:posOffset>
                </wp:positionV>
                <wp:extent cx="15120620" cy="21384260"/>
                <wp:effectExtent l="0" t="0" r="0" b="0"/>
                <wp:wrapNone/>
                <wp:docPr id="7" name="KG_Shd_4" hidden="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w="9525" cap="flat" cmpd="sng">
                          <a:solidFill>
                            <a:srgbClr val="FFFFFF">
                              <a:alpha val="0"/>
                            </a:srgbClr>
                          </a:solidFill>
                          <a:prstDash val="solid"/>
                          <a:miter/>
                          <a:headEnd type="none" w="med" len="med"/>
                          <a:tailEnd type="none" w="med" len="med"/>
                        </a:ln>
                      </wps:spPr>
                      <wps:bodyPr upright="1"/>
                    </wps:wsp>
                  </a:graphicData>
                </a:graphic>
              </wp:anchor>
            </w:drawing>
          </mc:Choice>
          <mc:Fallback>
            <w:pict>
              <v:rect id="KG_Shd_4" o:spid="_x0000_s1026" o:spt="1" style="position:absolute;left:0pt;margin-left:-297.65pt;margin-top:-420.95pt;height:1683.8pt;width:1190.6pt;visibility:hidden;z-index:-251659264;mso-width-relative:page;mso-height-relative:page;" fillcolor="#FFFFFF" filled="t" stroked="t" coordsize="21600,21600" o:gfxdata="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osl4&#10;F9kAAAAPAQAADwAAAAAAAAABACAAAAAiAAAAZHJzL2Rvd25yZXYueG1sUEsBAhQAFAAAAAgAh07i&#10;QCfazBDoAQAAGAQAAA4AAAAAAAAAAQAgAAAAKAEAAGRycy9lMm9Eb2MueG1sUEsFBgAAAAAGAAYA&#10;WQEAAIIFAAAAAA==&#10;">
                <v:fill on="t" opacity="0f" focussize="0,0"/>
                <v:stroke color="#FFFFFF" opacity="0f" joinstyle="miter"/>
                <v:imagedata o:title=""/>
                <o:lock v:ext="edit" aspectratio="f"/>
              </v:rect>
            </w:pict>
          </mc:Fallback>
        </mc:AlternateContent>
      </w:r>
      <w:r>
        <w:rPr>
          <w:rFonts w:hint="eastAsia" w:eastAsia="方正仿宋_GBK"/>
          <w:sz w:val="32"/>
          <w:szCs w:val="32"/>
          <w:lang w:val="en-US" w:eastAsia="zh-CN"/>
        </w:rPr>
        <w:t xml:space="preserve">                                  </w:t>
      </w:r>
    </w:p>
    <w:p>
      <w:pPr>
        <w:snapToGrid w:val="0"/>
        <w:spacing w:line="560" w:lineRule="exact"/>
        <w:jc w:val="right"/>
        <w:rPr>
          <w:rFonts w:eastAsia="方正仿宋_GBK"/>
          <w:color w:val="000000"/>
          <w:sz w:val="32"/>
          <w:szCs w:val="32"/>
        </w:rPr>
      </w:pPr>
    </w:p>
    <w:p>
      <w:pPr>
        <w:snapToGrid w:val="0"/>
        <w:spacing w:line="560" w:lineRule="exact"/>
        <w:jc w:val="both"/>
        <w:rPr>
          <w:rFonts w:hint="eastAsia" w:eastAsia="方正仿宋_GBK"/>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eastAsia" w:eastAsia="方正仿宋_GBK"/>
          <w:color w:val="000000"/>
          <w:sz w:val="32"/>
          <w:szCs w:val="32"/>
          <w:lang w:eastAsia="zh-CN"/>
        </w:rPr>
      </w:pPr>
      <w:r>
        <w:rPr>
          <w:rFonts w:hint="eastAsia" w:eastAsia="方正仿宋_GBK"/>
          <w:color w:val="000000"/>
          <w:sz w:val="32"/>
          <w:szCs w:val="32"/>
          <w:lang w:eastAsia="zh-CN"/>
        </w:rPr>
        <w:t>（此件公开发布）</w:t>
      </w:r>
    </w:p>
    <w:p>
      <w:pPr>
        <w:jc w:val="both"/>
        <w:rPr>
          <w:rFonts w:hint="default" w:ascii="Times New Roman" w:hAnsi="Times New Roman" w:eastAsia="方正小标宋_GBK" w:cs="Times New Roman"/>
          <w:sz w:val="44"/>
          <w:szCs w:val="44"/>
        </w:rPr>
      </w:pPr>
    </w:p>
    <w:p>
      <w:pPr>
        <w:spacing w:line="520" w:lineRule="exact"/>
        <w:rPr>
          <w:rFonts w:hint="eastAsia" w:ascii="方正仿宋_GBK" w:eastAsia="方正仿宋_GBK"/>
          <w:sz w:val="32"/>
          <w:szCs w:val="32"/>
        </w:rPr>
      </w:pPr>
    </w:p>
    <w:p>
      <w:pPr>
        <w:spacing w:line="520" w:lineRule="exact"/>
        <w:rPr>
          <w:rFonts w:hint="eastAsia" w:ascii="方正仿宋_GBK" w:eastAsia="方正仿宋_GBK"/>
          <w:sz w:val="32"/>
          <w:szCs w:val="32"/>
        </w:rPr>
      </w:pPr>
    </w:p>
    <w:p>
      <w:pPr>
        <w:spacing w:line="520" w:lineRule="exact"/>
        <w:rPr>
          <w:rFonts w:hint="eastAsia" w:ascii="方正仿宋_GBK" w:eastAsia="方正仿宋_GBK"/>
          <w:sz w:val="32"/>
          <w:szCs w:val="32"/>
        </w:rPr>
      </w:pPr>
      <w:r>
        <w:rPr>
          <w:rFonts w:ascii="方正小标宋简体" w:eastAsia="方正小标宋简体"/>
          <w:sz w:val="32"/>
          <w:szCs w:val="32"/>
        </w:rPr>
        <mc:AlternateContent>
          <mc:Choice Requires="wps">
            <w:drawing>
              <wp:anchor distT="0" distB="0" distL="114300" distR="114300" simplePos="0" relativeHeight="251661312" behindDoc="0" locked="0" layoutInCell="1" allowOverlap="1">
                <wp:simplePos x="0" y="0"/>
                <wp:positionH relativeFrom="column">
                  <wp:align>center</wp:align>
                </wp:positionH>
                <wp:positionV relativeFrom="paragraph">
                  <wp:posOffset>343535</wp:posOffset>
                </wp:positionV>
                <wp:extent cx="5760085" cy="0"/>
                <wp:effectExtent l="0" t="0" r="0" b="0"/>
                <wp:wrapSquare wrapText="bothSides"/>
                <wp:docPr id="4" name="直线 7"/>
                <wp:cNvGraphicFramePr/>
                <a:graphic xmlns:a="http://schemas.openxmlformats.org/drawingml/2006/main">
                  <a:graphicData uri="http://schemas.microsoft.com/office/word/2010/wordprocessingShape">
                    <wps:wsp>
                      <wps:cNvCnPr/>
                      <wps:spPr>
                        <a:xfrm>
                          <a:off x="0" y="0"/>
                          <a:ext cx="576008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 o:spid="_x0000_s1026" o:spt="20" style="position:absolute;left:0pt;margin-top:27.05pt;height:0pt;width:453.55pt;mso-position-horizontal:center;mso-wrap-distance-bottom:0pt;mso-wrap-distance-left:9pt;mso-wrap-distance-right:9pt;mso-wrap-distance-top:0pt;z-index:251661312;mso-width-relative:page;mso-height-relative:page;" filled="f" stroked="t" coordsize="21600,21600" o:gfxdata="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tXYd51AAAAAYBAAAPAAAAAAAAAAEAIAAAACIAAABkcnMv&#10;ZG93bnJldi54bWxQSwECFAAUAAAACACHTuJAL6VOnM4BAACNAwAADgAAAAAAAAABACAAAAAjAQAA&#10;ZHJzL2Uyb0RvYy54bWxQSwUGAAAAAAYABgBZAQAAYwUAAAAA&#10;">
                <v:fill on="f" focussize="0,0"/>
                <v:stroke color="#000000" joinstyle="round"/>
                <v:imagedata o:title=""/>
                <o:lock v:ext="edit" aspectratio="f"/>
                <w10:wrap type="square"/>
              </v:line>
            </w:pict>
          </mc:Fallback>
        </mc:AlternateContent>
      </w:r>
    </w:p>
    <w:p>
      <w:pPr>
        <w:spacing w:line="520" w:lineRule="exact"/>
        <w:ind w:firstLine="280" w:firstLineChars="100"/>
      </w:pPr>
      <w:r>
        <w:rPr>
          <w:rFonts w:eastAsia="仿宋_GB2312"/>
        </w:rPr>
        <mc:AlternateContent>
          <mc:Choice Requires="wps">
            <w:drawing>
              <wp:anchor distT="0" distB="0" distL="114300" distR="114300" simplePos="0" relativeHeight="251662336" behindDoc="0" locked="0" layoutInCell="1" allowOverlap="1">
                <wp:simplePos x="0" y="0"/>
                <wp:positionH relativeFrom="column">
                  <wp:posOffset>-88900</wp:posOffset>
                </wp:positionH>
                <wp:positionV relativeFrom="paragraph">
                  <wp:posOffset>384175</wp:posOffset>
                </wp:positionV>
                <wp:extent cx="5760085" cy="0"/>
                <wp:effectExtent l="0" t="0" r="0" b="0"/>
                <wp:wrapSquare wrapText="bothSides"/>
                <wp:docPr id="5" name="直线 8"/>
                <wp:cNvGraphicFramePr/>
                <a:graphic xmlns:a="http://schemas.openxmlformats.org/drawingml/2006/main">
                  <a:graphicData uri="http://schemas.microsoft.com/office/word/2010/wordprocessingShape">
                    <wps:wsp>
                      <wps:cNvCnPr/>
                      <wps:spPr>
                        <a:xfrm>
                          <a:off x="0" y="0"/>
                          <a:ext cx="576008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 o:spid="_x0000_s1026" o:spt="20" style="position:absolute;left:0pt;margin-left:-7pt;margin-top:30.25pt;height:0pt;width:453.55pt;mso-wrap-distance-bottom:0pt;mso-wrap-distance-left:9pt;mso-wrap-distance-right:9pt;mso-wrap-distance-top:0pt;z-index:251662336;mso-width-relative:page;mso-height-relative:page;" filled="f" stroked="t" coordsize="21600,21600" o:gfxdata="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TWJ2etcAAAAJAQAADwAAAAAAAAABACAAAAAiAAAAZHJz&#10;L2Rvd25yZXYueG1sUEsBAhQAFAAAAAgAh07iQNLwZVzMAQAAjQMAAA4AAAAAAAAAAQAgAAAAJgEA&#10;AGRycy9lMm9Eb2MueG1sUEsFBgAAAAAGAAYAWQEAAGQFAAAAAA==&#10;">
                <v:fill on="f" focussize="0,0"/>
                <v:stroke color="#000000" joinstyle="round"/>
                <v:imagedata o:title=""/>
                <o:lock v:ext="edit" aspectratio="f"/>
                <w10:wrap type="square"/>
              </v:line>
            </w:pict>
          </mc:Fallback>
        </mc:AlternateContent>
      </w:r>
      <w:r>
        <w:rPr>
          <w:rFonts w:eastAsia="仿宋_GB2312"/>
        </w:rPr>
        <w:t xml:space="preserve">陇川县环境保护局办公室　                 </w:t>
      </w:r>
      <w:r>
        <w:rPr>
          <w:rFonts w:hint="eastAsia" w:eastAsia="仿宋_GB2312"/>
          <w:lang w:val="en-US" w:eastAsia="zh-CN"/>
        </w:rPr>
        <w:t xml:space="preserve"> </w:t>
      </w:r>
      <w:r>
        <w:rPr>
          <w:rFonts w:hint="default" w:ascii="Times New Roman" w:hAnsi="Times New Roman" w:eastAsia="仿宋_GB2312" w:cs="Times New Roman"/>
        </w:rPr>
        <w:t>201</w:t>
      </w:r>
      <w:r>
        <w:rPr>
          <w:rFonts w:hint="default" w:ascii="Times New Roman" w:hAnsi="Times New Roman" w:eastAsia="仿宋_GB2312" w:cs="Times New Roman"/>
          <w:lang w:val="en-US" w:eastAsia="zh-CN"/>
        </w:rPr>
        <w:t>9</w:t>
      </w:r>
      <w:r>
        <w:rPr>
          <w:rFonts w:hint="default" w:ascii="Times New Roman" w:hAnsi="Times New Roman" w:eastAsia="仿宋_GB2312" w:cs="Times New Roman"/>
        </w:rPr>
        <w:t>年</w:t>
      </w:r>
      <w:r>
        <w:rPr>
          <w:rFonts w:hint="eastAsia" w:ascii="Times New Roman" w:hAnsi="Times New Roman" w:eastAsia="仿宋_GB2312" w:cs="Times New Roman"/>
          <w:lang w:val="en-US" w:eastAsia="zh-CN"/>
        </w:rPr>
        <w:t>3</w:t>
      </w:r>
      <w:r>
        <w:rPr>
          <w:rFonts w:hint="default" w:ascii="Times New Roman" w:hAnsi="Times New Roman" w:eastAsia="仿宋_GB2312" w:cs="Times New Roman"/>
        </w:rPr>
        <w:t>月</w:t>
      </w:r>
      <w:r>
        <w:rPr>
          <w:rFonts w:hint="eastAsia" w:ascii="Times New Roman" w:hAnsi="Times New Roman" w:eastAsia="仿宋_GB2312" w:cs="Times New Roman"/>
          <w:lang w:val="en-US" w:eastAsia="zh-CN"/>
        </w:rPr>
        <w:t>6</w:t>
      </w:r>
      <w:r>
        <w:rPr>
          <w:rFonts w:hint="default" w:ascii="Times New Roman" w:hAnsi="Times New Roman" w:eastAsia="仿宋_GB2312" w:cs="Times New Roman"/>
        </w:rPr>
        <w:t>日</w:t>
      </w:r>
      <w:r>
        <w:rPr>
          <w:rFonts w:eastAsia="仿宋_GB2312"/>
        </w:rPr>
        <w:t>印发</w:t>
      </w:r>
    </w:p>
    <w:sectPr>
      <w:headerReference r:id="rId3" w:type="default"/>
      <w:footerReference r:id="rId5" w:type="default"/>
      <w:headerReference r:id="rId4" w:type="even"/>
      <w:footerReference r:id="rId6" w:type="even"/>
      <w:pgSz w:w="11906" w:h="16838"/>
      <w:pgMar w:top="2098" w:right="1531" w:bottom="1985" w:left="1531" w:header="851" w:footer="1134" w:gutter="0"/>
      <w:cols w:space="720" w:num="1"/>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auto"/>
    <w:pitch w:val="default"/>
    <w:sig w:usb0="8000006F" w:usb1="1200FBEF" w:usb2="0064C000" w:usb3="00000002" w:csb0="00000001" w:csb1="4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等线">
    <w:altName w:val="宋体"/>
    <w:panose1 w:val="00000000000000000000"/>
    <w:charset w:val="86"/>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ind w:firstLine="280" w:firstLineChars="100"/>
      <w:jc w:val="right"/>
    </w:pPr>
    <w:r>
      <w:rPr>
        <w:rStyle w:val="6"/>
        <w:rFonts w:hint="eastAsia"/>
        <w:sz w:val="28"/>
        <w:szCs w:val="28"/>
      </w:rPr>
      <w:t xml:space="preserve">—  </w:t>
    </w:r>
    <w:r>
      <w:rPr>
        <w:sz w:val="28"/>
        <w:szCs w:val="28"/>
      </w:rPr>
      <w:fldChar w:fldCharType="begin"/>
    </w:r>
    <w:r>
      <w:rPr>
        <w:rStyle w:val="6"/>
        <w:sz w:val="28"/>
        <w:szCs w:val="28"/>
      </w:rPr>
      <w:instrText xml:space="preserve">PAGE  </w:instrText>
    </w:r>
    <w:r>
      <w:rPr>
        <w:sz w:val="28"/>
        <w:szCs w:val="28"/>
      </w:rPr>
      <w:fldChar w:fldCharType="separate"/>
    </w:r>
    <w:r>
      <w:rPr>
        <w:rStyle w:val="6"/>
        <w:sz w:val="28"/>
        <w:szCs w:val="28"/>
      </w:rPr>
      <w:t>3</w:t>
    </w:r>
    <w:r>
      <w:rPr>
        <w:sz w:val="28"/>
        <w:szCs w:val="28"/>
      </w:rPr>
      <w:fldChar w:fldCharType="end"/>
    </w:r>
    <w:r>
      <w:rPr>
        <w:rStyle w:val="6"/>
        <w:rFonts w:hint="eastAsia"/>
        <w:sz w:val="28"/>
        <w:szCs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pPr>
    <w:r>
      <w:rPr>
        <w:rStyle w:val="6"/>
        <w:rFonts w:hint="eastAsia"/>
        <w:sz w:val="28"/>
        <w:szCs w:val="28"/>
      </w:rPr>
      <w:t xml:space="preserve">—  </w:t>
    </w:r>
    <w:r>
      <w:rPr>
        <w:sz w:val="28"/>
        <w:szCs w:val="28"/>
      </w:rPr>
      <w:fldChar w:fldCharType="begin"/>
    </w:r>
    <w:r>
      <w:rPr>
        <w:rStyle w:val="6"/>
        <w:sz w:val="28"/>
        <w:szCs w:val="28"/>
      </w:rPr>
      <w:instrText xml:space="preserve">PAGE  </w:instrText>
    </w:r>
    <w:r>
      <w:rPr>
        <w:sz w:val="28"/>
        <w:szCs w:val="28"/>
      </w:rPr>
      <w:fldChar w:fldCharType="separate"/>
    </w:r>
    <w:r>
      <w:rPr>
        <w:rStyle w:val="6"/>
        <w:sz w:val="28"/>
        <w:szCs w:val="28"/>
      </w:rPr>
      <w:t>2</w:t>
    </w:r>
    <w:r>
      <w:rPr>
        <w:sz w:val="28"/>
        <w:szCs w:val="28"/>
      </w:rPr>
      <w:fldChar w:fldCharType="end"/>
    </w:r>
    <w:r>
      <w:rPr>
        <w:rStyle w:val="6"/>
        <w:rFonts w:hint="eastAsia"/>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4200"/>
        <w:tab w:val="clear" w:pos="8306"/>
      </w:tabs>
      <w:jc w:val="left"/>
    </w:pPr>
    <w:r>
      <w:tab/>
    </w: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67D75441-A3B9-4C22-9012-7CB202ADECF3}"/>
    <w:docVar w:name="DocumentName" w:val="陇环发〔2019〕15号陇川县环境保护局关于对云南阿丽糖业有限公司建设项目环境影响报告表的批复"/>
  </w:docVars>
  <w:rsids>
    <w:rsidRoot w:val="553E59FE"/>
    <w:rsid w:val="16E32A3B"/>
    <w:rsid w:val="269D793A"/>
    <w:rsid w:val="311F66CD"/>
    <w:rsid w:val="35DD4A88"/>
    <w:rsid w:val="553E59FE"/>
    <w:rsid w:val="5A0F721E"/>
    <w:rsid w:val="5E884A5A"/>
    <w:rsid w:val="6ECB0F3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8"/>
      <w:szCs w:val="28"/>
      <w:lang w:val="en-US" w:eastAsia="zh-CN" w:bidi="ar-SA"/>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paragraph" w:customStyle="1" w:styleId="8">
    <w:name w:val="Normal (Web)"/>
    <w:basedOn w:val="1"/>
    <w:uiPriority w:val="0"/>
    <w:rPr>
      <w:sz w:val="24"/>
    </w:rPr>
  </w:style>
  <w:style w:type="character" w:customStyle="1" w:styleId="9">
    <w:name w:val="page number"/>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德宏州陇川县党政机关单位</Company>
  <Pages>4</Pages>
  <Words>1510</Words>
  <Characters>1604</Characters>
  <Lines>0</Lines>
  <Paragraphs>0</Paragraphs>
  <ScaleCrop>false</ScaleCrop>
  <LinksUpToDate>false</LinksUpToDate>
  <CharactersWithSpaces>1657</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2019-01-28T09:04:00Z</dcterms:created>
  <dc:creator>陇川县环境保护局</dc:creator>
  <cp:lastModifiedBy>Administrator</cp:lastModifiedBy>
  <dcterms:modified xsi:type="dcterms:W3CDTF">2019-08-26T03:13:58Z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