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陇川县环境保护局关于对陇川县城子镇</w:t>
      </w:r>
    </w:p>
    <w:p>
      <w:pPr>
        <w:snapToGrid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老成汽车修理厂项目环境影响</w:t>
      </w:r>
    </w:p>
    <w:p>
      <w:pPr>
        <w:snapToGrid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报告表的批复</w:t>
      </w:r>
    </w:p>
    <w:p>
      <w:pPr>
        <w:snapToGrid w:val="0"/>
        <w:spacing w:line="560" w:lineRule="exact"/>
        <w:rPr>
          <w:rFonts w:hint="default" w:ascii="Times New Roman" w:hAnsi="Times New Roman" w:eastAsia="方正仿宋_GBK" w:cs="Times New Roman"/>
          <w:color w:val="auto"/>
          <w:sz w:val="32"/>
          <w:szCs w:val="32"/>
        </w:rPr>
      </w:pPr>
    </w:p>
    <w:p>
      <w:pPr>
        <w:snapToGrid w:val="0"/>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陇川县城子镇老成汽车修理厂：</w:t>
      </w:r>
    </w:p>
    <w:p>
      <w:pPr>
        <w:snapToGrid w:val="0"/>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你单位报批的《陇川县城子镇老成汽车修理厂项目环境影响报告表》（报批稿）已收悉，结合 2018 年10月14日技术审查结果，经我局认真审阅《报告表》（报批稿），现批复如下：</w:t>
      </w:r>
    </w:p>
    <w:p>
      <w:pPr>
        <w:snapToGrid w:val="0"/>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一、项目工程概况及背景</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陇川县城子镇老成汽车修理厂项目位于陇川县城子镇（原汽车客运站），项目中心地理位置坐标为东经97°57′27.26″，北纬24°21′43.05″，占地12646.2平方米。项目总投资 300万元，环保投资71万元。服务车辆规模为1000车次/年，其中保养约400车次/年，钣金喷漆约200车次/年，维修约400车次/年。建设内容主要有主体工程（机电车间、钣金车间、涂漆车间、配件仓库室、机修大修间、美容装饰洗车、停车区、旧件堆放区A、旧件堆放区B），附属工程（设有员工休息室、保安室、员工卫生间、客户卫生间、员工厨房、员工宿舍区、报修结算区、报修接待室等）。</w:t>
      </w:r>
    </w:p>
    <w:p>
      <w:pPr>
        <w:spacing w:line="560" w:lineRule="exact"/>
        <w:ind w:firstLine="643"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b/>
          <w:color w:val="auto"/>
          <w:sz w:val="32"/>
          <w:szCs w:val="32"/>
        </w:rPr>
        <w:t>二、</w:t>
      </w:r>
      <w:r>
        <w:rPr>
          <w:rFonts w:hint="default" w:ascii="Times New Roman" w:hAnsi="Times New Roman" w:eastAsia="方正黑体_GBK" w:cs="Times New Roman"/>
          <w:color w:val="auto"/>
          <w:sz w:val="32"/>
          <w:szCs w:val="32"/>
        </w:rPr>
        <w:t>审批意见</w:t>
      </w:r>
    </w:p>
    <w:p>
      <w:pPr>
        <w:adjustRightInd w:val="0"/>
        <w:snapToGrid w:val="0"/>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该项目符合国家产业政策，《报告表》中的工程概况介绍基本清楚，项目分析与环境影响源的识别基本上反映了项目特性，基本阐明了项目环保工程的合理性。据环评单位调查及项目单位反馈该项目不涉及文物古迹、名木古树等重要保护单位。经我局研究，同意该项目按照《报告表》中的性质、规模、地点、工艺和环境保护对策进行建设。</w:t>
      </w:r>
    </w:p>
    <w:p>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三、项目建设及运营过程中应重点做好的工作</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严格执行“三同时”制度，认真对照报告表及本批复要求，认真落实雨污分流工程、隔油池、沉淀池、化粪池、除尘设施、烤漆房废气过滤净化设施、厨房油烟净化设施等环保工程设施及措施，确保各项污染物达标排放。</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（二）不断改善提高污染防治工程措施，从源头减少各项污染物的产生量，在末端加大污染物的削减量。</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w:t>
      </w:r>
      <w:r>
        <w:rPr>
          <w:rFonts w:hint="default" w:ascii="Times New Roman" w:hAnsi="Times New Roman" w:eastAsia="方正楷体_GBK" w:cs="Times New Roman"/>
          <w:color w:val="auto"/>
          <w:kern w:val="0"/>
          <w:sz w:val="32"/>
          <w:szCs w:val="32"/>
        </w:rPr>
        <w:t>汽车清洁废水及地板清洁废水需经</w:t>
      </w:r>
      <w:r>
        <w:rPr>
          <w:rFonts w:hint="default" w:ascii="Times New Roman" w:hAnsi="Times New Roman" w:eastAsia="方正楷体_GBK" w:cs="Times New Roman"/>
          <w:color w:val="auto"/>
          <w:sz w:val="32"/>
          <w:szCs w:val="32"/>
        </w:rPr>
        <w:t>1#</w:t>
      </w:r>
      <w:r>
        <w:rPr>
          <w:rFonts w:hint="default" w:ascii="Times New Roman" w:hAnsi="Times New Roman" w:eastAsia="方正楷体_GBK" w:cs="Times New Roman"/>
          <w:color w:val="auto"/>
          <w:kern w:val="0"/>
          <w:sz w:val="32"/>
          <w:szCs w:val="32"/>
        </w:rPr>
        <w:t>隔油沉淀池等污水处理设施处理达相应标准后外排；食堂废水经厨房</w:t>
      </w:r>
      <w:r>
        <w:rPr>
          <w:rFonts w:hint="default" w:ascii="Times New Roman" w:hAnsi="Times New Roman" w:eastAsia="方正楷体_GBK" w:cs="Times New Roman"/>
          <w:color w:val="auto"/>
          <w:sz w:val="32"/>
          <w:szCs w:val="32"/>
        </w:rPr>
        <w:t>2#</w:t>
      </w:r>
      <w:r>
        <w:rPr>
          <w:rFonts w:hint="default" w:ascii="Times New Roman" w:hAnsi="Times New Roman" w:eastAsia="方正楷体_GBK" w:cs="Times New Roman"/>
          <w:color w:val="auto"/>
          <w:kern w:val="0"/>
          <w:sz w:val="32"/>
          <w:szCs w:val="32"/>
        </w:rPr>
        <w:t>隔油池预处理后与其他生活污水一同排入化粪池等设施封闭沤肥后供周边农户使用，或经污水处理设施处理达相应标后外排；</w:t>
      </w:r>
      <w:r>
        <w:rPr>
          <w:rFonts w:hint="default" w:ascii="Times New Roman" w:hAnsi="Times New Roman" w:eastAsia="方正楷体_GBK" w:cs="Times New Roman"/>
          <w:color w:val="auto"/>
          <w:sz w:val="32"/>
          <w:szCs w:val="32"/>
        </w:rPr>
        <w:t>雨水通过雨槽等外排，禁止生产废水、生活污水混入。</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（四）优先选用低噪生产设备，合理布设高噪声设备，并定期、及时做好维修、养护，认真落实封闭、隔声、减震等环保工程措施削除噪声污染影响。</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（五）建设完善喷漆、烤漆废气环保工程措施，定期、及时做好维修、养护，废气必须经处理达标后排放。</w:t>
      </w:r>
    </w:p>
    <w:p>
      <w:pPr>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固体废弃物尽可能回收综合利用，确实不能综合利用的需妥善暂存并及时清运至相关部门制定地点妥善处理处置，禁止随意堆弃；建设完善危废暂存间等环保工程设施，妥善收集暂存废矿物油、废旧电瓶、废油漆及沾油废零件、沾油手套等危险废弃物，禁止露天堆存危险废弃物，委托有资质单位安规范的收集处理处置，同时建立健全危废收集、转运和处置台账；妥善管理油漆、汽油等易燃易爆危险品，需建立健全台账。</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规范污染源监管工作，建立健全污染防治设施运行、管理、维护机制，确保各项污染防治设施安全稳定运行，严防出现偷排乱排；建立健全环境污染事故应急处理制度，按相关规定编制完善突发环境事件应急预案并报备，建设完善应急处理设备、设施。</w:t>
      </w:r>
    </w:p>
    <w:p>
      <w:pPr>
        <w:snapToGrid w:val="0"/>
        <w:spacing w:line="560"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（八）建议创建打造绿色场区：建议合理配置垃圾收集设施，大力宣传鼓励员工从源头进行固体废弃物分类；建议适当布设防雨防渗的永久性废旧电池收储设施。</w:t>
      </w:r>
    </w:p>
    <w:p>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项目建成后，根据《建设项目环境保护管理条例》及《建设项目竣工环境保护验收管理办法》等有关规定进行试运行及竣工环境保护验收。试运行前需向环评审批单位报告试运行时间，在试运行期间需完成竣工环境保护验收工作，通过竣工环境保护验收方可正式投入运营。</w:t>
      </w:r>
    </w:p>
    <w:p>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rPr>
          <w:rFonts w:hint="default" w:ascii="Times New Roman" w:hAnsi="Times New Roman" w:eastAsia="方正仿宋_GBK" w:cs="Times New Roman"/>
          <w:color w:val="auto"/>
          <w:sz w:val="32"/>
          <w:szCs w:val="32"/>
        </w:rPr>
      </w:pPr>
    </w:p>
    <w:p>
      <w:pPr>
        <w:snapToGrid w:val="0"/>
        <w:spacing w:line="560" w:lineRule="exact"/>
        <w:ind w:firstLine="640" w:firstLineChars="200"/>
        <w:jc w:val="righ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陇川县环境保护局</w:t>
      </w:r>
    </w:p>
    <w:p>
      <w:pPr>
        <w:snapToGrid w:val="0"/>
        <w:spacing w:line="560" w:lineRule="exact"/>
        <w:ind w:firstLine="640" w:firstLineChars="200"/>
        <w:jc w:val="right"/>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2019年3月12日</w:t>
      </w:r>
    </w:p>
    <w:p>
      <w:pPr>
        <w:pStyle w:val="2"/>
        <w:ind w:left="0" w:leftChars="0" w:firstLine="0" w:firstLineChars="0"/>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12</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3062F6E-07F3-40F9-A1BB-40EFF287642D}"/>
    <w:docVar w:name="DocumentName" w:val="陇环发文件头"/>
  </w:docVars>
  <w:rsids>
    <w:rsidRoot w:val="553E59FE"/>
    <w:rsid w:val="0717299D"/>
    <w:rsid w:val="0FC80FC4"/>
    <w:rsid w:val="269D793A"/>
    <w:rsid w:val="2D364EB5"/>
    <w:rsid w:val="553E59FE"/>
    <w:rsid w:val="635D51BA"/>
    <w:rsid w:val="68975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