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spacing w:line="300" w:lineRule="exact"/>
        <w:rPr>
          <w:rFonts w:hint="eastAsia"/>
          <w:sz w:val="32"/>
          <w:szCs w:val="32"/>
        </w:rPr>
      </w:pPr>
    </w:p>
    <w:p>
      <w:pPr>
        <w:spacing w:line="300" w:lineRule="exact"/>
        <w:rPr>
          <w:rFonts w:hint="eastAsia"/>
          <w:sz w:val="32"/>
          <w:szCs w:val="32"/>
        </w:rPr>
      </w:pPr>
    </w:p>
    <w:p>
      <w:pPr>
        <w:tabs>
          <w:tab w:val="left" w:pos="6720"/>
        </w:tabs>
        <w:ind w:firstLine="480" w:firstLineChars="150"/>
        <w:jc w:val="center"/>
        <w:rPr>
          <w:rFonts w:hint="eastAsia" w:eastAsia="方正仿宋_GBK"/>
          <w:sz w:val="32"/>
          <w:szCs w:val="32"/>
        </w:rPr>
      </w:pPr>
      <w:r>
        <w:rPr>
          <w:rFonts w:eastAsia="方正仿宋_GBK"/>
          <w:sz w:val="32"/>
          <w:szCs w:val="32"/>
        </w:rPr>
        <w:t>陇</w:t>
      </w:r>
      <w:r>
        <w:rPr>
          <w:rFonts w:hint="eastAsia" w:eastAsia="方正仿宋_GBK"/>
          <w:sz w:val="32"/>
          <w:szCs w:val="32"/>
        </w:rPr>
        <w:t>环</w:t>
      </w:r>
      <w:r>
        <w:rPr>
          <w:rFonts w:eastAsia="方正仿宋_GBK"/>
          <w:sz w:val="32"/>
          <w:szCs w:val="32"/>
        </w:rPr>
        <w:t>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29</w:t>
      </w:r>
      <w:bookmarkStart w:id="0" w:name="_GoBack"/>
      <w:bookmarkEnd w:id="0"/>
      <w:r>
        <w:rPr>
          <w:rFonts w:eastAsia="方正仿宋_GBK"/>
          <w:sz w:val="32"/>
          <w:szCs w:val="32"/>
        </w:rPr>
        <w:t>号</w:t>
      </w:r>
    </w:p>
    <w:p>
      <w:pPr>
        <w:snapToGrid w:val="0"/>
        <w:spacing w:line="600" w:lineRule="exact"/>
        <w:jc w:val="center"/>
        <w:rPr>
          <w:rFonts w:eastAsia="方正小标宋_GBK"/>
          <w:sz w:val="44"/>
          <w:szCs w:val="44"/>
        </w:rPr>
      </w:pPr>
    </w:p>
    <w:p>
      <w:pPr>
        <w:snapToGrid w:val="0"/>
        <w:spacing w:line="600" w:lineRule="exact"/>
        <w:jc w:val="center"/>
        <w:rPr>
          <w:rFonts w:hint="eastAsia" w:eastAsia="方正小标宋_GBK" w:cs="方正小标宋_GBK"/>
          <w:sz w:val="44"/>
          <w:szCs w:val="44"/>
        </w:rPr>
      </w:pPr>
      <w:r>
        <w:rPr>
          <w:rFonts w:eastAsia="方正小标宋_GBK"/>
          <w:sz w:val="44"/>
          <w:szCs w:val="44"/>
        </w:rPr>
        <w:t>陇川县环境保</w:t>
      </w:r>
      <w:r>
        <w:rPr>
          <w:rFonts w:eastAsia="方正小标宋_GBK"/>
          <w:color w:val="000000"/>
          <w:sz w:val="44"/>
          <w:szCs w:val="44"/>
        </w:rPr>
        <w:t>护局关于对</w:t>
      </w:r>
      <w:r>
        <w:rPr>
          <w:rFonts w:hint="eastAsia" w:eastAsia="方正小标宋_GBK" w:cs="方正小标宋_GBK"/>
          <w:sz w:val="44"/>
          <w:szCs w:val="44"/>
        </w:rPr>
        <w:t>云南省陇川县</w:t>
      </w:r>
    </w:p>
    <w:p>
      <w:pPr>
        <w:snapToGrid w:val="0"/>
        <w:spacing w:line="600" w:lineRule="exact"/>
        <w:jc w:val="center"/>
        <w:rPr>
          <w:rFonts w:hint="eastAsia" w:eastAsia="方正小标宋_GBK" w:cs="方正小标宋_GBK"/>
          <w:sz w:val="44"/>
          <w:szCs w:val="44"/>
        </w:rPr>
      </w:pPr>
      <w:r>
        <w:rPr>
          <w:rFonts w:hint="eastAsia" w:eastAsia="方正小标宋_GBK" w:cs="方正小标宋_GBK"/>
          <w:sz w:val="44"/>
          <w:szCs w:val="44"/>
        </w:rPr>
        <w:t>章凤制药厂中药饮片车间产能改扩建</w:t>
      </w:r>
    </w:p>
    <w:p>
      <w:pPr>
        <w:snapToGrid w:val="0"/>
        <w:spacing w:line="600" w:lineRule="exact"/>
        <w:jc w:val="center"/>
        <w:rPr>
          <w:rFonts w:eastAsia="方正小标宋_GBK"/>
          <w:sz w:val="44"/>
          <w:szCs w:val="44"/>
        </w:rPr>
      </w:pPr>
      <w:r>
        <w:rPr>
          <w:rFonts w:hint="eastAsia" w:eastAsia="方正小标宋_GBK" w:cs="方正小标宋_GBK"/>
          <w:sz w:val="44"/>
          <w:szCs w:val="44"/>
        </w:rPr>
        <w:t>项目</w:t>
      </w:r>
      <w:r>
        <w:rPr>
          <w:rFonts w:eastAsia="方正小标宋_GBK"/>
          <w:color w:val="000000"/>
          <w:sz w:val="44"/>
          <w:szCs w:val="44"/>
        </w:rPr>
        <w:t>环境影响报告表的批复</w:t>
      </w:r>
    </w:p>
    <w:p>
      <w:pPr>
        <w:snapToGrid w:val="0"/>
        <w:spacing w:line="560" w:lineRule="exact"/>
        <w:rPr>
          <w:rFonts w:eastAsia="方正仿宋_GBK"/>
          <w:sz w:val="32"/>
          <w:szCs w:val="32"/>
        </w:rPr>
      </w:pPr>
    </w:p>
    <w:p>
      <w:pPr>
        <w:snapToGrid w:val="0"/>
        <w:spacing w:line="560" w:lineRule="exact"/>
        <w:rPr>
          <w:rFonts w:eastAsia="方正仿宋_GBK"/>
          <w:sz w:val="32"/>
          <w:szCs w:val="32"/>
        </w:rPr>
      </w:pPr>
      <w:r>
        <w:rPr>
          <w:rFonts w:eastAsia="方正仿宋_GBK"/>
          <w:sz w:val="32"/>
          <w:szCs w:val="32"/>
        </w:rPr>
        <w:t>云南省甸川工贸股份有限公司：</w:t>
      </w:r>
    </w:p>
    <w:p>
      <w:pPr>
        <w:snapToGrid w:val="0"/>
        <w:spacing w:line="560" w:lineRule="exact"/>
        <w:ind w:firstLine="640" w:firstLineChars="200"/>
        <w:rPr>
          <w:rFonts w:eastAsia="方正仿宋_GBK"/>
          <w:sz w:val="32"/>
          <w:szCs w:val="32"/>
        </w:rPr>
      </w:pPr>
      <w:r>
        <w:rPr>
          <w:rFonts w:eastAsia="方正仿宋_GBK"/>
          <w:sz w:val="32"/>
          <w:szCs w:val="32"/>
        </w:rPr>
        <w:t>你单位报批的《云南省陇川县章凤制药厂中药饮片车间产能改扩建项目环境影响报告表（报批稿）》已收悉，结合</w:t>
      </w:r>
      <w:r>
        <w:rPr>
          <w:rFonts w:eastAsia="方正仿宋_GBK"/>
          <w:color w:val="000000"/>
          <w:sz w:val="32"/>
          <w:szCs w:val="32"/>
        </w:rPr>
        <w:t>2019年4月10日我局组织的</w:t>
      </w:r>
      <w:r>
        <w:rPr>
          <w:rFonts w:eastAsia="方正仿宋_GBK"/>
          <w:sz w:val="32"/>
          <w:szCs w:val="32"/>
        </w:rPr>
        <w:t>技术评估结果，经认真审阅《报告表》（报批稿），现批复如下：</w:t>
      </w:r>
    </w:p>
    <w:p>
      <w:pPr>
        <w:snapToGrid w:val="0"/>
        <w:spacing w:line="560" w:lineRule="exact"/>
        <w:ind w:firstLine="640" w:firstLineChars="200"/>
        <w:rPr>
          <w:rFonts w:eastAsia="方正黑体_GBK"/>
          <w:sz w:val="32"/>
          <w:szCs w:val="32"/>
        </w:rPr>
      </w:pPr>
      <w:r>
        <w:rPr>
          <w:rFonts w:eastAsia="方正黑体_GBK"/>
          <w:sz w:val="32"/>
          <w:szCs w:val="32"/>
        </w:rPr>
        <w:t>一、项目工程概况及背景</w:t>
      </w:r>
    </w:p>
    <w:p>
      <w:pPr>
        <w:spacing w:line="560" w:lineRule="exact"/>
        <w:ind w:firstLine="640" w:firstLineChars="200"/>
        <w:rPr>
          <w:rFonts w:eastAsia="方正仿宋_GBK"/>
          <w:sz w:val="32"/>
          <w:szCs w:val="32"/>
        </w:rPr>
      </w:pPr>
      <w:r>
        <w:rPr>
          <w:rFonts w:hAnsi="方正仿宋_GBK" w:eastAsia="方正仿宋_GBK"/>
          <w:sz w:val="32"/>
          <w:szCs w:val="32"/>
        </w:rPr>
        <w:t>云南省陇川县章凤制药厂中药饮片车间产能改扩建项目位于陇川县章凤镇芒弄村委会广山村（陇川县章凤制药厂内），本项目用地中心位置地理坐标为东经</w:t>
      </w:r>
      <w:r>
        <w:rPr>
          <w:rFonts w:eastAsia="方正仿宋_GBK"/>
          <w:sz w:val="32"/>
          <w:szCs w:val="32"/>
        </w:rPr>
        <w:t>97°48′06.75″</w:t>
      </w:r>
      <w:r>
        <w:rPr>
          <w:rFonts w:hAnsi="方正仿宋_GBK" w:eastAsia="方正仿宋_GBK"/>
          <w:sz w:val="32"/>
          <w:szCs w:val="32"/>
        </w:rPr>
        <w:t>，北纬</w:t>
      </w:r>
      <w:r>
        <w:rPr>
          <w:rFonts w:eastAsia="方正仿宋_GBK"/>
          <w:sz w:val="32"/>
          <w:szCs w:val="32"/>
        </w:rPr>
        <w:t>24°10′00.26″</w:t>
      </w:r>
      <w:r>
        <w:rPr>
          <w:rFonts w:hAnsi="方正仿宋_GBK" w:eastAsia="方正仿宋_GBK"/>
          <w:sz w:val="32"/>
          <w:szCs w:val="32"/>
        </w:rPr>
        <w:t>，项目为改扩建项目，项目总占地面积为</w:t>
      </w:r>
      <w:r>
        <w:rPr>
          <w:rFonts w:eastAsia="方正仿宋_GBK"/>
          <w:sz w:val="32"/>
          <w:szCs w:val="32"/>
        </w:rPr>
        <w:t>2286m</w:t>
      </w:r>
      <w:r>
        <w:rPr>
          <w:rFonts w:eastAsia="方正仿宋_GBK"/>
          <w:sz w:val="32"/>
          <w:szCs w:val="32"/>
          <w:vertAlign w:val="superscript"/>
        </w:rPr>
        <w:t>2</w:t>
      </w:r>
      <w:r>
        <w:rPr>
          <w:rFonts w:hAnsi="方正仿宋_GBK" w:eastAsia="方正仿宋_GBK"/>
          <w:sz w:val="32"/>
          <w:szCs w:val="32"/>
        </w:rPr>
        <w:t>。项目建设分为主体工程、公用工程及环保工程三个部分，其中，主体工程有中药饮片车间生产线占地面积为</w:t>
      </w:r>
      <w:r>
        <w:rPr>
          <w:rFonts w:eastAsia="方正仿宋_GBK"/>
          <w:sz w:val="32"/>
          <w:szCs w:val="32"/>
        </w:rPr>
        <w:t>2286m</w:t>
      </w:r>
      <w:r>
        <w:rPr>
          <w:rFonts w:eastAsia="方正仿宋_GBK"/>
          <w:sz w:val="32"/>
          <w:szCs w:val="32"/>
          <w:vertAlign w:val="superscript"/>
        </w:rPr>
        <w:t>2</w:t>
      </w:r>
      <w:r>
        <w:rPr>
          <w:rFonts w:hAnsi="方正仿宋_GBK" w:eastAsia="方正仿宋_GBK"/>
          <w:sz w:val="32"/>
          <w:szCs w:val="32"/>
        </w:rPr>
        <w:t>、建筑面积为</w:t>
      </w:r>
      <w:r>
        <w:rPr>
          <w:rFonts w:eastAsia="方正仿宋_GBK"/>
          <w:sz w:val="32"/>
          <w:szCs w:val="32"/>
        </w:rPr>
        <w:t>1472 m</w:t>
      </w:r>
      <w:r>
        <w:rPr>
          <w:rFonts w:eastAsia="方正仿宋_GBK"/>
          <w:sz w:val="32"/>
          <w:szCs w:val="32"/>
          <w:vertAlign w:val="superscript"/>
        </w:rPr>
        <w:t>2</w:t>
      </w:r>
      <w:r>
        <w:rPr>
          <w:rFonts w:hAnsi="方正仿宋_GBK" w:eastAsia="方正仿宋_GBK"/>
          <w:sz w:val="32"/>
          <w:szCs w:val="32"/>
        </w:rPr>
        <w:t>；环保工程有依托原有设施，绿化约为全厂总面积的</w:t>
      </w:r>
      <w:r>
        <w:rPr>
          <w:rFonts w:eastAsia="方正仿宋_GBK"/>
          <w:sz w:val="32"/>
          <w:szCs w:val="32"/>
        </w:rPr>
        <w:t>40%</w:t>
      </w:r>
      <w:r>
        <w:rPr>
          <w:rFonts w:hAnsi="方正仿宋_GBK" w:eastAsia="方正仿宋_GBK"/>
          <w:sz w:val="32"/>
          <w:szCs w:val="32"/>
        </w:rPr>
        <w:t>以上；公用工程有供水、供电、排水等依托原有</w:t>
      </w:r>
      <w:r>
        <w:rPr>
          <w:rFonts w:hAnsi="方正仿宋_GBK" w:eastAsia="方正仿宋_GBK"/>
          <w:kern w:val="0"/>
          <w:sz w:val="32"/>
          <w:szCs w:val="32"/>
        </w:rPr>
        <w:t>。</w:t>
      </w:r>
      <w:r>
        <w:rPr>
          <w:rFonts w:hAnsi="方正仿宋_GBK" w:eastAsia="方正仿宋_GBK"/>
          <w:sz w:val="32"/>
          <w:szCs w:val="32"/>
        </w:rPr>
        <w:t>项目总投资</w:t>
      </w:r>
      <w:r>
        <w:rPr>
          <w:rFonts w:eastAsia="方正仿宋_GBK"/>
          <w:sz w:val="32"/>
          <w:szCs w:val="32"/>
        </w:rPr>
        <w:t>220</w:t>
      </w:r>
      <w:r>
        <w:rPr>
          <w:rFonts w:hAnsi="方正仿宋_GBK" w:eastAsia="方正仿宋_GBK"/>
          <w:sz w:val="32"/>
          <w:szCs w:val="32"/>
        </w:rPr>
        <w:t>万元。</w:t>
      </w:r>
    </w:p>
    <w:p>
      <w:pPr>
        <w:spacing w:line="560" w:lineRule="exact"/>
        <w:ind w:firstLine="643" w:firstLineChars="200"/>
        <w:rPr>
          <w:rFonts w:eastAsia="方正黑体_GBK"/>
          <w:sz w:val="32"/>
          <w:szCs w:val="32"/>
        </w:rPr>
      </w:pPr>
      <w:r>
        <w:rPr>
          <w:rFonts w:eastAsia="方正黑体_GBK"/>
          <w:b/>
          <w:sz w:val="32"/>
          <w:szCs w:val="32"/>
        </w:rPr>
        <w:t>二、</w:t>
      </w:r>
      <w:r>
        <w:rPr>
          <w:rFonts w:eastAsia="方正黑体_GBK"/>
          <w:sz w:val="32"/>
          <w:szCs w:val="32"/>
        </w:rPr>
        <w:t>审批意见</w:t>
      </w:r>
    </w:p>
    <w:p>
      <w:pPr>
        <w:adjustRightInd w:val="0"/>
        <w:snapToGrid w:val="0"/>
        <w:spacing w:line="560" w:lineRule="exact"/>
        <w:ind w:firstLine="640" w:firstLineChars="200"/>
        <w:rPr>
          <w:rFonts w:eastAsia="方正仿宋_GBK"/>
          <w:sz w:val="32"/>
          <w:szCs w:val="32"/>
        </w:rPr>
      </w:pPr>
      <w:r>
        <w:rPr>
          <w:rFonts w:eastAsia="方正仿宋_GBK"/>
          <w:sz w:val="32"/>
          <w:szCs w:val="32"/>
        </w:rPr>
        <w:t>该项目符合国家产业政策，《报告表》中的工程概况介绍基本清楚，项目分析与环境影响源的识别基本上反映了项目特性，基本阐明了项目环保工程的合理性。据环评单位调查及项目单位反馈该项目不涉及文物古迹、名木古树等重要保护单位。经我局研究，同意该项目按照《报告表》中的性质、规模、地点、工艺和环境保护对策进行建设。</w:t>
      </w:r>
    </w:p>
    <w:p>
      <w:pPr>
        <w:spacing w:line="560" w:lineRule="exact"/>
        <w:ind w:firstLine="640" w:firstLineChars="200"/>
        <w:rPr>
          <w:rFonts w:eastAsia="方正黑体_GBK"/>
          <w:sz w:val="32"/>
          <w:szCs w:val="32"/>
        </w:rPr>
      </w:pPr>
      <w:r>
        <w:rPr>
          <w:rFonts w:eastAsia="方正黑体_GBK"/>
          <w:sz w:val="32"/>
          <w:szCs w:val="32"/>
        </w:rPr>
        <w:t>三、项目建设及运营过程中应重点做好的工作</w:t>
      </w:r>
    </w:p>
    <w:p>
      <w:pPr>
        <w:snapToGrid w:val="0"/>
        <w:spacing w:line="560" w:lineRule="exact"/>
        <w:ind w:firstLine="640" w:firstLineChars="200"/>
        <w:rPr>
          <w:rFonts w:eastAsia="方正楷体_GBK"/>
          <w:sz w:val="32"/>
          <w:szCs w:val="32"/>
        </w:rPr>
      </w:pPr>
      <w:r>
        <w:rPr>
          <w:rFonts w:hint="eastAsia" w:eastAsia="方正楷体_GBK"/>
          <w:sz w:val="32"/>
          <w:szCs w:val="32"/>
        </w:rPr>
        <w:t>（一）严格执行</w:t>
      </w:r>
      <w:r>
        <w:rPr>
          <w:rFonts w:eastAsia="方正楷体_GBK"/>
          <w:sz w:val="32"/>
          <w:szCs w:val="32"/>
        </w:rPr>
        <w:t>“</w:t>
      </w:r>
      <w:r>
        <w:rPr>
          <w:rFonts w:hint="eastAsia" w:eastAsia="方正楷体_GBK"/>
          <w:sz w:val="32"/>
          <w:szCs w:val="32"/>
        </w:rPr>
        <w:t>三同时</w:t>
      </w:r>
      <w:r>
        <w:rPr>
          <w:rFonts w:eastAsia="方正楷体_GBK"/>
          <w:sz w:val="32"/>
          <w:szCs w:val="32"/>
        </w:rPr>
        <w:t>”</w:t>
      </w:r>
      <w:r>
        <w:rPr>
          <w:rFonts w:hint="eastAsia" w:eastAsia="方正楷体_GBK"/>
          <w:sz w:val="32"/>
          <w:szCs w:val="32"/>
        </w:rPr>
        <w:t>制度，认真对照《报告书》及本批复建设落实污水处理、烟气治理等环保工程措施，规范安全妥善的治理或综合利用生产废水、锅炉烟气等污染物，确保达标排放并不对周围环境造成污染影响。</w:t>
      </w:r>
    </w:p>
    <w:p>
      <w:pPr>
        <w:snapToGrid w:val="0"/>
        <w:spacing w:line="560" w:lineRule="exact"/>
        <w:ind w:firstLine="640" w:firstLineChars="200"/>
        <w:rPr>
          <w:rFonts w:eastAsia="方正楷体_GBK"/>
          <w:sz w:val="32"/>
          <w:szCs w:val="32"/>
        </w:rPr>
      </w:pPr>
      <w:r>
        <w:rPr>
          <w:rFonts w:hint="eastAsia" w:eastAsia="方正楷体_GBK"/>
          <w:sz w:val="32"/>
          <w:szCs w:val="32"/>
        </w:rPr>
        <w:t>（二）积极主动推进清洁生产，从源头减少原辅材料的消耗并减少污染物的产生量；不断提升废弃物资源化再生利用的能力，将污染物变废为宝资源化利用；不断改善提升污染防治工程措施，在末端加大污染物的削减量。</w:t>
      </w:r>
    </w:p>
    <w:p>
      <w:pPr>
        <w:snapToGrid w:val="0"/>
        <w:spacing w:line="560" w:lineRule="exact"/>
        <w:ind w:firstLine="640" w:firstLineChars="200"/>
        <w:rPr>
          <w:rFonts w:eastAsia="方正楷体_GBK"/>
          <w:sz w:val="32"/>
          <w:szCs w:val="32"/>
        </w:rPr>
      </w:pP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 name="KGD_Gobal1" descr="lskY7P30+39SSS2ze3CC/BI+cJFjJD4aUOkdQHQbtWOk17I1dQug/hCOceEqNSAdyzMoVIbS6IuvNWIcoAdqqlAbVnv+I29FGAkw85O4fl2jId0Ou+ZYkEolJrt354Elzqt9aCsQchxjaelPenNPpZLLAOJBSS0Y7EL/beupvU3eOtO0EHaAfGKGChrE3dIX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W3iMJa7VZ9fdgJLnqp2kw1rx3UDmtHcF7327nAkoF93lG8vGZ52hFUHO1xO6WcDCtedbPN5rdnc6+9uB8NXNm4eMwvgYpPBLBsMoj4ZtXBQ+EhvHjAH+huMner9E1JZk0f5ZVOqFisBwFctnZsNOCMoh2B6thOPv93ngoMPRXQinc5w13jLTVesuTFwwKGt9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I+cJFjJD4aUOkdQHQbtWOk17I1dQug/hCOceEqNSAdyzMoVIbS6IuvNWIcoAdqqlAbVnv+I29FGAkw85O4fl2jId0Ou+ZYkEolJrt354Elzqt9aCsQchxjaelPenNPpZLLAOJBSS0Y7EL/beupvU3eOtO0EHaAfGKGChrE3dIX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W3iMJa7VZ9fdgJLnqp2kw1rx3UDmtHcF7327nAkoF93lG8vGZ52hFUHO1xO6WcDCtedbPN5rdnc6+9uB8NXNm4eMwvgYpPBLBsMoj4ZtXBQ+EhvHjAH+huMner9E1JZk0f5ZVOqFisBwFctnZsNOCMoh2B6thOPv93ngoMPRXQinc5w13jLTVesuTFwwKGt9xwsVIvM0M/jabiqUE0B4QQ==" style="position:absolute;left:0pt;margin-left:-86.55pt;margin-top:-94.9pt;height:5pt;width:5pt;visibility:hidden;z-index:2516643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">
                <v:fill on="t" focussize="0,0"/>
                <v:stroke weight="1pt" color="#41719C [3204]" miterlimit="8" joinstyle="miter"/>
                <v:imagedata o:title=""/>
                <o:lock v:ext="edit" aspectratio="f"/>
              </v:rect>
            </w:pict>
          </mc:Fallback>
        </mc:AlternateContent>
      </w:r>
      <w:r>
        <w:rPr>
          <w:rFonts w:hint="eastAsia" w:eastAsia="方正楷体_GBK"/>
          <w:sz w:val="32"/>
          <w:szCs w:val="32"/>
        </w:rPr>
        <w:t>（三）施工期及运营期产生的固体废弃物必须妥善收集暂存，尽可能资源化回收综合利用，确实不能综合利用的及时清运至相关部门指定的地点妥善处理、处置，不得随意堆弃；规范收集处理处置厂区内产生的危险废弃物</w:t>
      </w:r>
      <w:r>
        <w:rPr>
          <w:rFonts w:hint="eastAsia" w:ascii="方正楷体_GBK" w:hAnsi="方正楷体_GBK" w:eastAsia="方正楷体_GBK" w:cs="方正楷体_GBK"/>
          <w:sz w:val="32"/>
          <w:szCs w:val="32"/>
        </w:rPr>
        <w:t>，同时建立健全危废收集、转运和处置台账</w:t>
      </w:r>
      <w:r>
        <w:rPr>
          <w:rFonts w:hint="eastAsia" w:eastAsia="方正楷体_GBK"/>
          <w:sz w:val="32"/>
          <w:szCs w:val="32"/>
        </w:rPr>
        <w:t>。</w:t>
      </w:r>
    </w:p>
    <w:p>
      <w:pPr>
        <w:snapToGrid w:val="0"/>
        <w:spacing w:line="560" w:lineRule="exact"/>
        <w:ind w:firstLine="640" w:firstLineChars="200"/>
        <w:rPr>
          <w:rFonts w:eastAsia="方正楷体_GBK"/>
          <w:sz w:val="32"/>
          <w:szCs w:val="32"/>
        </w:rPr>
      </w:pPr>
      <w:r>
        <w:rPr>
          <w:rFonts w:hint="eastAsia" w:eastAsia="方正楷体_GBK"/>
          <w:sz w:val="32"/>
          <w:szCs w:val="32"/>
        </w:rPr>
        <w:t>（四）建立健全污染防治设施运行、管理、维护机制，设专人负责各项环保工程设施的运行维护，以及监控污染物产排情况。确保新增的和依托原有的污染防治设施安全稳定运行，以及规范固体废弃物收集处置，确保各项污染物达标排放，杜绝发生环境污染。</w:t>
      </w:r>
    </w:p>
    <w:p>
      <w:pPr>
        <w:snapToGrid w:val="0"/>
        <w:spacing w:line="560" w:lineRule="exact"/>
        <w:ind w:firstLine="640" w:firstLineChars="200"/>
        <w:rPr>
          <w:rFonts w:eastAsia="方正楷体_GBK"/>
          <w:sz w:val="32"/>
          <w:szCs w:val="32"/>
        </w:rPr>
      </w:pPr>
      <w:r>
        <w:rPr>
          <w:rFonts w:hint="eastAsia" w:eastAsia="方正楷体_GBK"/>
          <w:sz w:val="32"/>
          <w:szCs w:val="32"/>
        </w:rPr>
        <w:t>（五）优先选用低噪声生产设备，合理布设高噪声设备，认真落实封闭、隔声、减震等环保工程措施。</w:t>
      </w:r>
    </w:p>
    <w:p>
      <w:pPr>
        <w:snapToGrid w:val="0"/>
        <w:spacing w:line="560" w:lineRule="exact"/>
        <w:ind w:firstLine="640" w:firstLineChars="200"/>
        <w:rPr>
          <w:rFonts w:hint="eastAsia" w:eastAsia="方正楷体_GBK"/>
          <w:sz w:val="32"/>
          <w:szCs w:val="32"/>
        </w:rPr>
      </w:pPr>
      <w:r>
        <w:rPr>
          <w:rFonts w:hint="eastAsia" w:eastAsia="方正楷体_GBK"/>
          <w:sz w:val="32"/>
          <w:szCs w:val="32"/>
        </w:rPr>
        <w:t>（六）倡导积极推进厂区绿色文明建设，建议：科学配置垃圾收集设施，宣传鼓励员工从源头进行垃圾分类；适当布设防雨防渗的废电池永久收储设施，要求员工定点丢弃废旧电池。</w:t>
      </w:r>
    </w:p>
    <w:p>
      <w:pPr>
        <w:spacing w:line="560" w:lineRule="exact"/>
        <w:ind w:firstLine="640" w:firstLineChars="200"/>
        <w:rPr>
          <w:rFonts w:eastAsia="方正黑体_GBK"/>
          <w:color w:val="000000"/>
          <w:sz w:val="32"/>
          <w:szCs w:val="32"/>
        </w:rPr>
      </w:pPr>
      <w:r>
        <w:rPr>
          <w:rFonts w:eastAsia="方正黑体_GBK"/>
          <w:color w:val="000000"/>
          <w:sz w:val="32"/>
          <w:szCs w:val="32"/>
        </w:rPr>
        <w:t>四、严格按照《报告表》中工艺、规模进行建设，认真落实环保资金的投入，严格按《报告表》提出的环保投资概算执行，认真落实各项环保工程措施；建立健全环境管理工作机制，明确责任人及职责；按报告要求开展施工期与运营期环境监察及环境监测工作。</w:t>
      </w:r>
    </w:p>
    <w:p>
      <w:pPr>
        <w:spacing w:line="560" w:lineRule="exact"/>
        <w:ind w:firstLine="640" w:firstLineChars="200"/>
        <w:rPr>
          <w:rFonts w:eastAsia="方正黑体_GBK"/>
          <w:color w:val="000000"/>
          <w:sz w:val="32"/>
          <w:szCs w:val="32"/>
        </w:rPr>
      </w:pPr>
      <w:r>
        <w:rPr>
          <w:rFonts w:eastAsia="方正黑体_GBK"/>
          <w:color w:val="000000"/>
          <w:sz w:val="32"/>
          <w:szCs w:val="32"/>
        </w:rPr>
        <w:t>五、项目建成后，根据《建设项目环境保护管理条例》及《建设项目竣工环境保护验收管理办法》等有关规定进行试生产及竣工环境保护验收。试生产前需向环评审批单位报告试生产时间，在试生产期间需完成竣工环境保护验收工作，通过竣工环境保护验收方可正式投入运营。</w:t>
      </w:r>
    </w:p>
    <w:p>
      <w:pPr>
        <w:spacing w:line="560" w:lineRule="exact"/>
        <w:ind w:firstLine="640" w:firstLineChars="200"/>
        <w:rPr>
          <w:rFonts w:eastAsia="方正黑体_GBK"/>
          <w:color w:val="000000"/>
          <w:sz w:val="32"/>
          <w:szCs w:val="32"/>
        </w:rPr>
      </w:pPr>
      <w:r>
        <w:rPr>
          <w:rFonts w:eastAsia="方正黑体_GBK"/>
          <w:color w:val="000000"/>
          <w:sz w:val="32"/>
          <w:szCs w:val="32"/>
        </w:rPr>
        <w:t>六、建设项目的性质、规模、地点、采用的生产工艺或者防治污染、防止生态破坏的措施发生重大变动时，建设单位应当重新报批建设项目的环境影响评价文件。</w:t>
      </w:r>
    </w:p>
    <w:p>
      <w:pPr>
        <w:snapToGrid w:val="0"/>
        <w:spacing w:line="560" w:lineRule="exact"/>
        <w:rPr>
          <w:rFonts w:eastAsia="方正仿宋_GBK"/>
          <w:sz w:val="32"/>
          <w:szCs w:val="32"/>
        </w:rPr>
      </w:pPr>
    </w:p>
    <w:p>
      <w:pPr>
        <w:snapToGrid w:val="0"/>
        <w:spacing w:line="560" w:lineRule="exact"/>
        <w:ind w:firstLine="640" w:firstLineChars="200"/>
        <w:jc w:val="right"/>
        <w:rPr>
          <w:rFonts w:eastAsia="方正仿宋_GBK"/>
          <w:sz w:val="32"/>
          <w:szCs w:val="32"/>
        </w:rPr>
      </w:pPr>
      <w:r>
        <w:rPr>
          <w:rFonts w:eastAsia="方正仿宋_GBK"/>
          <w:sz w:val="32"/>
          <w:szCs w:val="32"/>
        </w:rPr>
        <w:t>陇川县环境保护局</w:t>
      </w:r>
    </w:p>
    <w:p>
      <w:pPr>
        <w:snapToGrid w:val="0"/>
        <w:spacing w:line="560" w:lineRule="exact"/>
        <w:ind w:firstLine="640" w:firstLineChars="200"/>
        <w:jc w:val="right"/>
      </w:pPr>
      <w:r>
        <w:rPr>
          <w:sz w:val="32"/>
        </w:rPr>
        <mc:AlternateContent>
          <mc:Choice Requires="wps">
            <w:drawing>
              <wp:anchor distT="0" distB="0" distL="114300" distR="114300" simplePos="0" relativeHeight="251658240" behindDoc="1" locked="0" layoutInCell="1" hidden="1" allowOverlap="1">
                <wp:simplePos x="0" y="0"/>
                <wp:positionH relativeFrom="column">
                  <wp:posOffset>-4752340</wp:posOffset>
                </wp:positionH>
                <wp:positionV relativeFrom="paragraph">
                  <wp:posOffset>-9523095</wp:posOffset>
                </wp:positionV>
                <wp:extent cx="15120620" cy="21384260"/>
                <wp:effectExtent l="0" t="0" r="0" b="0"/>
                <wp:wrapNone/>
                <wp:docPr id="3" name="KG_Shd_4"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74.2pt;margin-top:-749.85pt;height:1683.8pt;width:1190.6pt;visibility:hidden;z-index:-251658240;v-text-anchor:middle;mso-width-relative:page;mso-height-relative:page;" fillcolor="#FFFFFF" filled="t" stroked="t" coordsize="21600,21600" o:gfxdata="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x5XF62wAAABABAAAPAAAAAAAAAAEAIAAAACIAAABkcnMvZG93bnJldi54&#10;bWxQSwECFAAUAAAACACHTuJAeUpSX2kCAAAEBQAADgAAAAAAAAABACAAAAAqAQAAZHJzL2Uyb0Rv&#10;Yy54bWxQSwUGAAAAAAYABgBZAQAABQYAAAAA&#10;">
                <v:fill on="t" opacity="0f" focussize="0,0"/>
                <v:stroke weight="1pt" color="#BCBCBC [3204]" opacity="0f" miterlimit="8" joinstyle="miter"/>
                <v:imagedata o:title=""/>
                <o:lock v:ext="edit" aspectratio="f"/>
              </v:rect>
            </w:pict>
          </mc:Fallback>
        </mc:AlternateContent>
      </w:r>
      <w:r>
        <w:rPr>
          <w:rFonts w:eastAsia="方正仿宋_GBK"/>
          <w:color w:val="000000"/>
          <w:sz w:val="32"/>
          <w:szCs w:val="32"/>
        </w:rPr>
        <w:t>2019年4月26日</w:t>
      </w:r>
    </w:p>
    <w:p>
      <w:pPr>
        <w:spacing w:line="520" w:lineRule="exact"/>
        <w:rPr>
          <w:rFonts w:hint="eastAsia" w:ascii="方正仿宋_GBK" w:eastAsia="方正仿宋_GBK"/>
          <w:sz w:val="32"/>
          <w:szCs w:val="32"/>
        </w:rPr>
      </w:pPr>
    </w:p>
    <w:p>
      <w:pPr>
        <w:pStyle w:val="2"/>
        <w:ind w:left="0" w:leftChars="0" w:firstLine="0" w:firstLineChars="0"/>
        <w:rPr>
          <w:rFonts w:hint="eastAsia" w:ascii="方正仿宋_GBK" w:eastAsia="方正仿宋_GBK"/>
          <w:sz w:val="32"/>
          <w:szCs w:val="32"/>
          <w:lang w:eastAsia="zh-CN"/>
        </w:rPr>
      </w:pPr>
      <w:r>
        <w:rPr>
          <w:rFonts w:hint="eastAsia" w:ascii="方正仿宋_GBK" w:eastAsia="方正仿宋_GBK"/>
          <w:sz w:val="32"/>
          <w:szCs w:val="32"/>
          <w:lang w:eastAsia="zh-CN"/>
        </w:rPr>
        <w:t>（此件依申请公开）</w:t>
      </w:r>
    </w:p>
    <w:p>
      <w:pPr>
        <w:pStyle w:val="2"/>
        <w:rPr>
          <w:rFonts w:hint="eastAsia" w:ascii="方正仿宋_GBK" w:eastAsia="方正仿宋_GBK"/>
          <w:sz w:val="32"/>
          <w:szCs w:val="32"/>
        </w:rPr>
      </w:pPr>
    </w:p>
    <w:p>
      <w:pPr>
        <w:pStyle w:val="2"/>
        <w:rPr>
          <w:rFonts w:hint="eastAsia" w:ascii="方正仿宋_GBK" w:eastAsia="方正仿宋_GBK"/>
          <w:sz w:val="32"/>
          <w:szCs w:val="32"/>
        </w:rPr>
      </w:pPr>
    </w:p>
    <w:p>
      <w:pPr>
        <w:pStyle w:val="2"/>
        <w:rPr>
          <w:rFonts w:hint="eastAsia" w:ascii="方正仿宋_GBK" w:eastAsia="方正仿宋_GBK"/>
          <w:sz w:val="32"/>
          <w:szCs w:val="32"/>
        </w:rPr>
      </w:pPr>
    </w:p>
    <w:p>
      <w:pPr>
        <w:pStyle w:val="2"/>
        <w:rPr>
          <w:rFonts w:hint="eastAsia" w:ascii="方正仿宋_GBK" w:eastAsia="方正仿宋_GBK"/>
          <w:sz w:val="32"/>
          <w:szCs w:val="32"/>
        </w:rPr>
      </w:pPr>
    </w:p>
    <w:p>
      <w:pPr>
        <w:pStyle w:val="2"/>
        <w:rPr>
          <w:rFonts w:hint="eastAsia" w:ascii="方正仿宋_GBK" w:eastAsia="方正仿宋_GBK"/>
          <w:sz w:val="32"/>
          <w:szCs w:val="32"/>
        </w:rPr>
      </w:pPr>
    </w:p>
    <w:p>
      <w:pPr>
        <w:pStyle w:val="2"/>
        <w:ind w:left="0" w:leftChars="0" w:firstLine="0" w:firstLineChars="0"/>
        <w:rPr>
          <w:rFonts w:hint="eastAsia" w:ascii="方正仿宋_GBK" w:eastAsia="方正仿宋_GBK"/>
          <w:sz w:val="32"/>
          <w:szCs w:val="32"/>
        </w:rPr>
      </w:pPr>
    </w:p>
    <w:p>
      <w:pPr>
        <w:spacing w:line="520" w:lineRule="exact"/>
        <w:rPr>
          <w:rFonts w:hint="eastAsia" w:ascii="方正仿宋_GBK" w:eastAsia="方正仿宋_GBK"/>
          <w:sz w:val="32"/>
          <w:szCs w:val="32"/>
        </w:rPr>
      </w:pPr>
      <w:r>
        <w:rPr>
          <w:rFonts w:ascii="方正小标宋简体" w:eastAsia="方正小标宋简体"/>
          <w:sz w:val="32"/>
          <w:szCs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343535</wp:posOffset>
                </wp:positionV>
                <wp:extent cx="5760085" cy="0"/>
                <wp:effectExtent l="0" t="0" r="0" b="0"/>
                <wp:wrapSquare wrapText="bothSides"/>
                <wp:docPr id="4" name="直线 7"/>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top:27.05pt;height:0pt;width:453.55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tXYd51AAAAAYBAAAPAAAAAAAAAAEAIAAAACIAAABkcnMv&#10;ZG93bnJldi54bWxQSwECFAAUAAAACACHTuJAL6VOnM4BAACNAwAADgAAAAAAAAABACAAAAAjAQAA&#10;ZHJzL2Uyb0RvYy54bWxQSwUGAAAAAAYABgBZAQAAYwUAAAAA&#10;">
                <v:fill on="f" focussize="0,0"/>
                <v:stroke color="#000000" joinstyle="round"/>
                <v:imagedata o:title=""/>
                <o:lock v:ext="edit" aspectratio="f"/>
                <w10:wrap type="square"/>
              </v:line>
            </w:pict>
          </mc:Fallback>
        </mc:AlternateContent>
      </w:r>
    </w:p>
    <w:p>
      <w:pPr>
        <w:spacing w:line="520" w:lineRule="exact"/>
        <w:ind w:firstLine="280" w:firstLineChars="100"/>
      </w:pPr>
      <w:r>
        <w:rPr>
          <w:rFonts w:eastAsia="仿宋_GB2312"/>
        </w:rPr>
        <mc:AlternateContent>
          <mc:Choice Requires="wps">
            <w:drawing>
              <wp:anchor distT="0" distB="0" distL="114300" distR="114300" simplePos="0" relativeHeight="251662336" behindDoc="0" locked="0" layoutInCell="1" allowOverlap="1">
                <wp:simplePos x="0" y="0"/>
                <wp:positionH relativeFrom="column">
                  <wp:posOffset>-88900</wp:posOffset>
                </wp:positionH>
                <wp:positionV relativeFrom="paragraph">
                  <wp:posOffset>384175</wp:posOffset>
                </wp:positionV>
                <wp:extent cx="5760085" cy="0"/>
                <wp:effectExtent l="0" t="0" r="0" b="0"/>
                <wp:wrapSquare wrapText="bothSides"/>
                <wp:docPr id="5" name="直线 8"/>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7pt;margin-top:30.25pt;height:0pt;width:453.55pt;mso-wrap-distance-bottom:0pt;mso-wrap-distance-left:9pt;mso-wrap-distance-right:9pt;mso-wrap-distance-top:0pt;z-index:251662336;mso-width-relative:page;mso-height-relative:page;" filled="f" stroked="t" coordsize="21600,21600" o:gfxdata="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WJ2etcAAAAJAQAADwAAAAAAAAABACAAAAAiAAAAZHJz&#10;L2Rvd25yZXYueG1sUEsBAhQAFAAAAAgAh07iQNLwZVzMAQAAjQMAAA4AAAAAAAAAAQAgAAAAJgEA&#10;AGRycy9lMm9Eb2MueG1sUEsFBgAAAAAGAAYAWQEAAGQFAAAAAA==&#10;">
                <v:fill on="f" focussize="0,0"/>
                <v:stroke color="#000000" joinstyle="round"/>
                <v:imagedata o:title=""/>
                <o:lock v:ext="edit" aspectratio="f"/>
                <w10:wrap type="square"/>
              </v:line>
            </w:pict>
          </mc:Fallback>
        </mc:AlternateContent>
      </w:r>
      <w:r>
        <w:rPr>
          <w:rFonts w:eastAsia="仿宋_GB2312"/>
        </w:rPr>
        <w:t xml:space="preserve">陇川县环境保护局办公室　                 </w:t>
      </w:r>
      <w:r>
        <w:rPr>
          <w:rFonts w:hint="eastAsia" w:eastAsia="仿宋_GB2312"/>
          <w:lang w:val="en-US" w:eastAsia="zh-CN"/>
        </w:rPr>
        <w:t xml:space="preserve"> </w:t>
      </w:r>
      <w:r>
        <w:rPr>
          <w:rFonts w:hint="default" w:ascii="Times New Roman" w:hAnsi="Times New Roman" w:eastAsia="仿宋_GB2312" w:cs="Times New Roman"/>
        </w:rPr>
        <w:t>201</w:t>
      </w:r>
      <w:r>
        <w:rPr>
          <w:rFonts w:hint="default" w:ascii="Times New Roman" w:hAnsi="Times New Roman" w:eastAsia="仿宋_GB2312" w:cs="Times New Roman"/>
          <w:lang w:val="en-US" w:eastAsia="zh-CN"/>
        </w:rPr>
        <w:t>9</w:t>
      </w:r>
      <w:r>
        <w:rPr>
          <w:rFonts w:hint="default" w:ascii="Times New Roman" w:hAnsi="Times New Roman" w:eastAsia="仿宋_GB2312" w:cs="Times New Roman"/>
        </w:rPr>
        <w:t>年</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rPr>
        <w:t>月</w:t>
      </w:r>
      <w:r>
        <w:rPr>
          <w:rFonts w:hint="eastAsia" w:ascii="Times New Roman" w:hAnsi="Times New Roman" w:eastAsia="仿宋_GB2312" w:cs="Times New Roman"/>
          <w:lang w:val="en-US" w:eastAsia="zh-CN"/>
        </w:rPr>
        <w:t>26</w:t>
      </w:r>
      <w:r>
        <w:rPr>
          <w:rFonts w:hint="default" w:ascii="Times New Roman" w:hAnsi="Times New Roman" w:eastAsia="仿宋_GB2312" w:cs="Times New Roman"/>
        </w:rPr>
        <w:t>日</w:t>
      </w:r>
      <w:r>
        <w:rPr>
          <w:rFonts w:eastAsia="仿宋_GB2312"/>
        </w:rPr>
        <w:t>印发</w:t>
      </w:r>
    </w:p>
    <w:p/>
    <w:sectPr>
      <w:headerReference r:id="rId3" w:type="default"/>
      <w:footerReference r:id="rId5" w:type="default"/>
      <w:headerReference r:id="rId4" w:type="even"/>
      <w:footerReference r:id="rId6" w:type="even"/>
      <w:pgSz w:w="11906" w:h="16838"/>
      <w:pgMar w:top="2098" w:right="1531" w:bottom="1985" w:left="1531" w:header="851" w:footer="1134"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firstLine="280" w:firstLineChars="100"/>
      <w:jc w:val="right"/>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3</w:t>
    </w:r>
    <w:r>
      <w:rPr>
        <w:sz w:val="28"/>
        <w:szCs w:val="28"/>
      </w:rPr>
      <w:fldChar w:fldCharType="end"/>
    </w:r>
    <w:r>
      <w:rPr>
        <w:rStyle w:val="6"/>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4200"/>
        <w:tab w:val="clear" w:pos="8306"/>
      </w:tabs>
      <w:jc w:val="lef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95484B7-A100-4174-88EA-21B3240E027F}"/>
    <w:docVar w:name="DocumentName" w:val="陇环发文件头"/>
  </w:docVars>
  <w:rsids>
    <w:rsidRoot w:val="553E59FE"/>
    <w:rsid w:val="047E3452"/>
    <w:rsid w:val="269D793A"/>
    <w:rsid w:val="2D364EB5"/>
    <w:rsid w:val="4F0708DD"/>
    <w:rsid w:val="4FD36A46"/>
    <w:rsid w:val="553E59FE"/>
    <w:rsid w:val="5EDB3A66"/>
    <w:rsid w:val="60CD6034"/>
    <w:rsid w:val="68975C0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8"/>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4</Pages>
  <Words>1458</Words>
  <Characters>1504</Characters>
  <Lines>0</Lines>
  <Paragraphs>0</Paragraphs>
  <ScaleCrop>false</ScaleCrop>
  <LinksUpToDate>false</LinksUpToDate>
  <CharactersWithSpaces>1524</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2019-01-28T09:04:00Z</dcterms:created>
  <dc:creator>陇川县环境保护局</dc:creator>
  <cp:lastModifiedBy>Administrator</cp:lastModifiedBy>
  <dcterms:modified xsi:type="dcterms:W3CDTF">2019-08-26T03:16:13Z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