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00" w:lineRule="exact"/>
        <w:ind w:left="0" w:right="0"/>
        <w:jc w:val="center"/>
        <w:rPr>
          <w:rFonts w:hint="eastAsia" w:ascii="方正小标宋_GBK" w:hAnsi="方正小标宋_GBK" w:eastAsia="方正小标宋_GBK" w:cs="方正小标宋_GBK"/>
          <w:b w:val="0"/>
          <w:bCs/>
          <w:spacing w:val="0"/>
          <w:kern w:val="2"/>
          <w:sz w:val="44"/>
          <w:szCs w:val="44"/>
        </w:rPr>
      </w:pPr>
      <w:r>
        <w:rPr>
          <w:rFonts w:hint="eastAsia" w:ascii="方正小标宋_GBK" w:hAnsi="方正小标宋_GBK" w:eastAsia="方正小标宋_GBK" w:cs="方正小标宋_GBK"/>
          <w:b w:val="0"/>
          <w:bCs/>
          <w:spacing w:val="0"/>
          <w:kern w:val="2"/>
          <w:sz w:val="44"/>
          <w:szCs w:val="44"/>
          <w:lang w:val="en-US" w:eastAsia="zh-CN" w:bidi="ar"/>
        </w:rPr>
        <w:t>户撒乡2024年财政预算草案编制说明</w:t>
      </w:r>
    </w:p>
    <w:p>
      <w:pPr>
        <w:keepNext w:val="0"/>
        <w:keepLines w:val="0"/>
        <w:pageBreakBefore w:val="0"/>
        <w:widowControl w:val="0"/>
        <w:suppressLineNumbers w:val="0"/>
        <w:kinsoku/>
        <w:wordWrap/>
        <w:overflowPunct/>
        <w:topLinePunct w:val="0"/>
        <w:autoSpaceDE/>
        <w:autoSpaceDN/>
        <w:bidi w:val="0"/>
        <w:adjustRightInd/>
        <w:snapToGrid/>
        <w:spacing w:beforeAutospacing="0" w:after="157" w:afterLines="50" w:afterAutospacing="0" w:line="540" w:lineRule="exact"/>
        <w:ind w:right="0"/>
        <w:jc w:val="center"/>
        <w:textAlignment w:val="auto"/>
        <w:rPr>
          <w:rFonts w:hint="default" w:ascii="Times New Roman" w:hAnsi="Times New Roman" w:eastAsia="仿宋_GB2312" w:cs="Times New Roman"/>
          <w:w w:val="90"/>
          <w:sz w:val="32"/>
          <w:szCs w:val="32"/>
          <w:lang w:val="en-US"/>
        </w:rPr>
      </w:pPr>
      <w:r>
        <w:rPr>
          <w:rFonts w:hint="eastAsia" w:eastAsia="方正楷体_GBK" w:cs="Times New Roman"/>
          <w:spacing w:val="0"/>
          <w:w w:val="90"/>
          <w:kern w:val="2"/>
          <w:sz w:val="32"/>
          <w:szCs w:val="32"/>
          <w:lang w:val="en-US" w:eastAsia="zh-CN" w:bidi="ar"/>
        </w:rPr>
        <w:t>—</w:t>
      </w:r>
      <w:r>
        <w:rPr>
          <w:rFonts w:hint="default" w:ascii="Times New Roman" w:hAnsi="Times New Roman" w:eastAsia="方正楷体_GBK" w:cs="Times New Roman"/>
          <w:spacing w:val="0"/>
          <w:w w:val="90"/>
          <w:kern w:val="2"/>
          <w:sz w:val="32"/>
          <w:szCs w:val="32"/>
          <w:lang w:val="en-US" w:eastAsia="zh-CN" w:bidi="ar"/>
        </w:rPr>
        <w:t>202</w:t>
      </w:r>
      <w:r>
        <w:rPr>
          <w:rFonts w:hint="eastAsia" w:eastAsia="方正楷体_GBK" w:cs="Times New Roman"/>
          <w:spacing w:val="0"/>
          <w:w w:val="90"/>
          <w:kern w:val="2"/>
          <w:sz w:val="32"/>
          <w:szCs w:val="32"/>
          <w:lang w:val="en-US" w:eastAsia="zh-CN" w:bidi="ar"/>
        </w:rPr>
        <w:t>4</w:t>
      </w:r>
      <w:r>
        <w:rPr>
          <w:rFonts w:hint="default" w:ascii="Times New Roman" w:hAnsi="Times New Roman" w:eastAsia="方正楷体_GBK" w:cs="Times New Roman"/>
          <w:spacing w:val="0"/>
          <w:w w:val="90"/>
          <w:kern w:val="2"/>
          <w:sz w:val="32"/>
          <w:szCs w:val="32"/>
          <w:lang w:val="en-US" w:eastAsia="zh-CN" w:bidi="ar"/>
        </w:rPr>
        <w:t>年</w:t>
      </w:r>
      <w:r>
        <w:rPr>
          <w:rFonts w:hint="eastAsia" w:eastAsia="方正楷体_GBK" w:cs="Times New Roman"/>
          <w:spacing w:val="0"/>
          <w:w w:val="90"/>
          <w:kern w:val="2"/>
          <w:sz w:val="32"/>
          <w:szCs w:val="32"/>
          <w:lang w:val="en-US" w:eastAsia="zh-CN" w:bidi="ar"/>
        </w:rPr>
        <w:t>2</w:t>
      </w:r>
      <w:r>
        <w:rPr>
          <w:rFonts w:hint="default" w:ascii="Times New Roman" w:hAnsi="Times New Roman" w:eastAsia="方正楷体_GBK" w:cs="Times New Roman"/>
          <w:spacing w:val="0"/>
          <w:w w:val="90"/>
          <w:kern w:val="2"/>
          <w:sz w:val="32"/>
          <w:szCs w:val="32"/>
          <w:lang w:val="en-US" w:eastAsia="zh-CN" w:bidi="ar"/>
        </w:rPr>
        <w:t>月</w:t>
      </w:r>
      <w:r>
        <w:rPr>
          <w:rFonts w:hint="eastAsia" w:eastAsia="方正楷体_GBK" w:cs="Times New Roman"/>
          <w:spacing w:val="0"/>
          <w:w w:val="90"/>
          <w:kern w:val="2"/>
          <w:sz w:val="32"/>
          <w:szCs w:val="32"/>
          <w:lang w:val="en-US" w:eastAsia="zh-CN" w:bidi="ar"/>
        </w:rPr>
        <w:t>2</w:t>
      </w:r>
      <w:r>
        <w:rPr>
          <w:rFonts w:hint="default" w:ascii="Times New Roman" w:hAnsi="Times New Roman" w:eastAsia="方正楷体_GBK" w:cs="Times New Roman"/>
          <w:spacing w:val="0"/>
          <w:w w:val="90"/>
          <w:kern w:val="2"/>
          <w:sz w:val="32"/>
          <w:szCs w:val="32"/>
          <w:lang w:val="en-US" w:eastAsia="zh-CN" w:bidi="ar"/>
        </w:rPr>
        <w:t>日在户撒乡第十九届人民代表大会</w:t>
      </w:r>
      <w:r>
        <w:rPr>
          <w:rFonts w:hint="eastAsia" w:eastAsia="方正楷体_GBK" w:cs="Times New Roman"/>
          <w:spacing w:val="0"/>
          <w:w w:val="90"/>
          <w:kern w:val="2"/>
          <w:sz w:val="32"/>
          <w:szCs w:val="32"/>
          <w:lang w:val="en-US" w:eastAsia="zh-CN" w:bidi="ar"/>
        </w:rPr>
        <w:t>第四次</w:t>
      </w:r>
      <w:r>
        <w:rPr>
          <w:rFonts w:hint="default" w:ascii="Times New Roman" w:hAnsi="Times New Roman" w:eastAsia="方正楷体_GBK" w:cs="Times New Roman"/>
          <w:spacing w:val="0"/>
          <w:w w:val="90"/>
          <w:kern w:val="2"/>
          <w:sz w:val="32"/>
          <w:szCs w:val="32"/>
          <w:lang w:val="en-US" w:eastAsia="zh-CN" w:bidi="ar"/>
        </w:rPr>
        <w:t>会议上</w:t>
      </w:r>
    </w:p>
    <w:p>
      <w:pPr>
        <w:keepNext w:val="0"/>
        <w:keepLines w:val="0"/>
        <w:pageBreakBefore w:val="0"/>
        <w:kinsoku/>
        <w:wordWrap/>
        <w:overflowPunct/>
        <w:topLinePunct w:val="0"/>
        <w:autoSpaceDE/>
        <w:autoSpaceDN/>
        <w:bidi w:val="0"/>
        <w:adjustRightInd/>
        <w:snapToGrid/>
        <w:spacing w:line="560" w:lineRule="exact"/>
        <w:ind w:right="-52"/>
        <w:jc w:val="center"/>
        <w:textAlignment w:val="auto"/>
        <w:rPr>
          <w:rFonts w:hint="eastAsia" w:eastAsia="方正楷体_GBK" w:cs="Times New Roman"/>
          <w:spacing w:val="0"/>
          <w:w w:val="90"/>
          <w:kern w:val="2"/>
          <w:sz w:val="32"/>
          <w:szCs w:val="32"/>
          <w:lang w:val="en-US" w:eastAsia="zh-CN" w:bidi="ar"/>
        </w:rPr>
      </w:pPr>
      <w:r>
        <w:rPr>
          <w:rFonts w:hint="eastAsia" w:eastAsia="方正楷体_GBK" w:cs="Times New Roman"/>
          <w:spacing w:val="0"/>
          <w:w w:val="90"/>
          <w:kern w:val="2"/>
          <w:sz w:val="32"/>
          <w:szCs w:val="32"/>
          <w:lang w:val="en-US" w:eastAsia="zh-CN" w:bidi="ar"/>
        </w:rPr>
        <w:t>户撒乡财政所</w:t>
      </w:r>
    </w:p>
    <w:p>
      <w:pPr>
        <w:keepNext w:val="0"/>
        <w:keepLines w:val="0"/>
        <w:widowControl w:val="0"/>
        <w:suppressLineNumbers w:val="0"/>
        <w:spacing w:before="0" w:beforeAutospacing="0" w:after="0" w:afterAutospacing="0" w:line="600" w:lineRule="exact"/>
        <w:ind w:right="0"/>
        <w:jc w:val="both"/>
        <w:rPr>
          <w:rFonts w:hint="default" w:ascii="黑体" w:hAnsi="宋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各位代表：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根据《中华人民共和国预算法》“国家实行一级政府一级预算”之规定，按照县委、县政府确定的经济社会发展目标，结合2023年财政形势及各项事业发展需要，编制了《户撒阿昌族乡2024年财政预算草案》，现就有关情况作如下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黑体_GBK" w:cs="Times New Roman"/>
          <w:spacing w:val="0"/>
          <w:kern w:val="2"/>
          <w:sz w:val="32"/>
          <w:szCs w:val="32"/>
        </w:rPr>
      </w:pPr>
      <w:r>
        <w:rPr>
          <w:rFonts w:hint="default" w:ascii="Times New Roman" w:hAnsi="Times New Roman" w:eastAsia="方正黑体_GBK" w:cs="Times New Roman"/>
          <w:kern w:val="2"/>
          <w:sz w:val="32"/>
          <w:szCs w:val="32"/>
          <w:lang w:val="en-US" w:eastAsia="zh-CN" w:bidi="ar"/>
        </w:rPr>
        <w:t>一、财政预算指导思想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lang w:val="en-US" w:eastAsia="zh-CN" w:bidi="ar"/>
        </w:rPr>
        <w:t>编制2024年预算的指导思想是</w:t>
      </w:r>
      <w:r>
        <w:rPr>
          <w:rFonts w:hint="default" w:ascii="Times New Roman" w:hAnsi="Times New Roman" w:eastAsia="方正仿宋_GBK" w:cs="Times New Roman"/>
          <w:kern w:val="2"/>
          <w:sz w:val="32"/>
          <w:szCs w:val="32"/>
          <w:lang w:val="en-US" w:eastAsia="zh-CN" w:bidi="ar"/>
        </w:rPr>
        <w:t>：认真贯彻落实党的二十大，中央经济工作会议和省州县有关会议精神，以习近平新时代中国特色社会主义经济思想为指导，紧紧围绕落实县委、县政府、乡党委政府决策部署，提高政策的针对性和协调性，促进经济增长、结构优化、区域协调和城乡统筹，提高预算管理水平，优化支出结构，提高财政资金使用绩效，促进全乡经济发展和民生改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720" w:firstLineChars="225"/>
        <w:jc w:val="both"/>
        <w:textAlignment w:val="auto"/>
        <w:rPr>
          <w:rFonts w:hint="default" w:ascii="Times New Roman" w:hAnsi="Times New Roman" w:eastAsia="方正黑体_GBK" w:cs="Times New Roman"/>
          <w:kern w:val="2"/>
          <w:sz w:val="32"/>
          <w:szCs w:val="32"/>
        </w:rPr>
      </w:pPr>
      <w:r>
        <w:rPr>
          <w:rFonts w:hint="default" w:ascii="Times New Roman" w:hAnsi="Times New Roman" w:eastAsia="方正黑体_GBK" w:cs="Times New Roman"/>
          <w:kern w:val="2"/>
          <w:sz w:val="32"/>
          <w:szCs w:val="32"/>
          <w:lang w:val="en-US" w:eastAsia="zh-CN" w:bidi="ar"/>
        </w:rPr>
        <w:t>二、财政预算编制依据和原则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lang w:val="en-US" w:eastAsia="zh-CN" w:bidi="ar"/>
        </w:rPr>
        <w:t>（一）编制依据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720" w:firstLineChars="225"/>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财政预算编制依据《中华人民共和国预算法》、《陇川县2024年部门预算编制方案》及财政部制定的《2024年政府收支分类科目》一书。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kern w:val="2"/>
          <w:sz w:val="32"/>
          <w:szCs w:val="32"/>
          <w:lang w:val="en-US" w:eastAsia="zh-CN" w:bidi="ar"/>
        </w:rPr>
      </w:pPr>
      <w:r>
        <w:rPr>
          <w:rFonts w:hint="default" w:ascii="Times New Roman" w:hAnsi="Times New Roman" w:eastAsia="方正楷体_GBK" w:cs="Times New Roman"/>
          <w:kern w:val="2"/>
          <w:sz w:val="32"/>
          <w:szCs w:val="32"/>
          <w:lang w:val="en-US" w:eastAsia="zh-CN" w:bidi="ar"/>
        </w:rPr>
        <w:t>（二）编制原则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720" w:firstLineChars="225"/>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1.收入预算编制坚持实事求是、积极稳妥的原则。依法依规组织财政收入，按规定必须列入财政预算的收入，做到应列尽列，既不随意夸大，也不隐瞒少列；既打满打足，又积极稳妥。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720" w:firstLineChars="225"/>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2.支出预算编制坚持统筹兼顾、突出重点、有保有压的原则。优化财政支出结构，促增长、惠民生，保重点、严格控制一般性刚性支出。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720" w:firstLineChars="225"/>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3.稳步推进完善政府预算体系的原则。继续完善政府预算体系，在完善公共财政预算编制的同时，提高预算的透明度和约束力；各项财政支出根据2024年部门预算编制口径，结合财力安排，确保预算全面、真实、完整，提高预算的完整性和透明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720" w:firstLineChars="225"/>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4.坚持收支平衡的原则。坚持量入为出与量出为入相结合，既体现实际需要，又考虑财力可能，做到财政收支平衡，不编制赤字预算。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720" w:firstLineChars="225"/>
        <w:jc w:val="both"/>
        <w:textAlignment w:val="auto"/>
        <w:rPr>
          <w:rFonts w:hint="default" w:ascii="Times New Roman" w:hAnsi="Times New Roman" w:eastAsia="方正黑体_GBK" w:cs="Times New Roman"/>
          <w:kern w:val="2"/>
          <w:sz w:val="32"/>
          <w:szCs w:val="32"/>
          <w:lang w:val="en-US" w:eastAsia="zh-CN" w:bidi="ar"/>
        </w:rPr>
      </w:pPr>
      <w:r>
        <w:rPr>
          <w:rFonts w:hint="default" w:ascii="Times New Roman" w:hAnsi="Times New Roman" w:eastAsia="方正黑体_GBK" w:cs="Times New Roman"/>
          <w:kern w:val="2"/>
          <w:sz w:val="32"/>
          <w:szCs w:val="32"/>
          <w:lang w:val="en-US" w:eastAsia="zh-CN" w:bidi="ar"/>
        </w:rPr>
        <w:t>三、财政预算收支安排情况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kern w:val="2"/>
          <w:sz w:val="32"/>
          <w:szCs w:val="32"/>
          <w:lang w:val="en-US" w:eastAsia="zh-CN" w:bidi="ar"/>
        </w:rPr>
      </w:pPr>
      <w:r>
        <w:rPr>
          <w:rFonts w:hint="default" w:ascii="Times New Roman" w:hAnsi="Times New Roman" w:eastAsia="方正楷体_GBK" w:cs="Times New Roman"/>
          <w:kern w:val="2"/>
          <w:sz w:val="32"/>
          <w:szCs w:val="32"/>
          <w:lang w:val="en-US" w:eastAsia="zh-CN" w:bidi="ar"/>
        </w:rPr>
        <w:t>（一）预算收入安排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28" w:firstLine="640" w:firstLineChars="20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因户撒阿昌族乡乡域总体经济实力不强，产业结构单一，综合各方面分析后</w:t>
      </w:r>
      <w:r>
        <w:rPr>
          <w:rFonts w:hint="default" w:ascii="Times New Roman" w:hAnsi="Times New Roman" w:eastAsia="方正仿宋_GBK" w:cs="Times New Roman"/>
          <w:kern w:val="2"/>
          <w:sz w:val="32"/>
          <w:szCs w:val="32"/>
          <w:lang w:val="en-US" w:eastAsia="zh-CN" w:bidi="ar"/>
        </w:rPr>
        <w:t>，2024年乡本级财政预算总收入</w:t>
      </w:r>
      <w:r>
        <w:rPr>
          <w:rFonts w:hint="default" w:ascii="Times New Roman" w:hAnsi="Times New Roman" w:eastAsia="方正仿宋_GBK" w:cs="Times New Roman"/>
          <w:color w:val="000000"/>
          <w:kern w:val="2"/>
          <w:sz w:val="32"/>
          <w:szCs w:val="32"/>
          <w:lang w:val="en-US" w:eastAsia="zh-CN" w:bidi="ar"/>
        </w:rPr>
        <w:t>建议数1035.55万元</w:t>
      </w:r>
      <w:r>
        <w:rPr>
          <w:rFonts w:hint="default" w:ascii="Times New Roman" w:hAnsi="Times New Roman" w:eastAsia="方正仿宋_GBK" w:cs="Times New Roman"/>
          <w:bCs/>
          <w:kern w:val="2"/>
          <w:sz w:val="32"/>
          <w:szCs w:val="32"/>
          <w:lang w:val="en-US" w:eastAsia="zh-CN" w:bidi="ar"/>
        </w:rPr>
        <w:t>，全部为</w:t>
      </w:r>
      <w:r>
        <w:rPr>
          <w:rFonts w:hint="default" w:ascii="Times New Roman" w:hAnsi="Times New Roman" w:eastAsia="方正仿宋_GBK" w:cs="Times New Roman"/>
          <w:spacing w:val="0"/>
          <w:kern w:val="2"/>
          <w:sz w:val="32"/>
          <w:szCs w:val="32"/>
          <w:lang w:val="en-US" w:eastAsia="zh-CN" w:bidi="ar"/>
        </w:rPr>
        <w:t>县级基本财力保障机制奖补资金收入。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kern w:val="2"/>
          <w:sz w:val="32"/>
          <w:szCs w:val="32"/>
          <w:lang w:val="en-US" w:eastAsia="zh-CN" w:bidi="ar"/>
        </w:rPr>
      </w:pPr>
      <w:r>
        <w:rPr>
          <w:rFonts w:hint="default" w:ascii="Times New Roman" w:hAnsi="Times New Roman" w:eastAsia="方正楷体_GBK" w:cs="Times New Roman"/>
          <w:kern w:val="2"/>
          <w:sz w:val="32"/>
          <w:szCs w:val="32"/>
          <w:lang w:val="en-US" w:eastAsia="zh-CN" w:bidi="ar"/>
        </w:rPr>
        <w:t>（二）预算支出安排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28"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支出预算安排按照保工资和个人补助足额发放、保机关的基本运转、保民生保障支出的要求，坚持轻重缓急、量力而行。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28" w:firstLine="640" w:firstLineChars="200"/>
        <w:jc w:val="left"/>
        <w:textAlignment w:val="auto"/>
        <w:rPr>
          <w:rFonts w:hint="default" w:ascii="Times New Roman" w:hAnsi="Times New Roman" w:eastAsia="方正仿宋_GBK" w:cs="Times New Roman"/>
          <w:bCs/>
          <w:kern w:val="2"/>
          <w:sz w:val="32"/>
          <w:szCs w:val="32"/>
        </w:rPr>
      </w:pPr>
      <w:r>
        <w:rPr>
          <w:rFonts w:hint="default" w:ascii="Times New Roman" w:hAnsi="Times New Roman" w:eastAsia="方正仿宋_GBK" w:cs="Times New Roman"/>
          <w:kern w:val="2"/>
          <w:sz w:val="32"/>
          <w:szCs w:val="32"/>
          <w:lang w:val="en-US" w:eastAsia="zh-CN" w:bidi="ar"/>
        </w:rPr>
        <w:t>根据全乡各项事业发展及重点工作需要，结合乡本级财力实际及预算收支平衡原则，2024年</w:t>
      </w:r>
      <w:r>
        <w:rPr>
          <w:rFonts w:hint="default" w:ascii="Times New Roman" w:hAnsi="Times New Roman" w:eastAsia="方正仿宋_GBK" w:cs="Times New Roman"/>
          <w:spacing w:val="0"/>
          <w:kern w:val="2"/>
          <w:sz w:val="32"/>
          <w:szCs w:val="32"/>
          <w:lang w:val="en-US" w:eastAsia="zh-CN" w:bidi="ar"/>
        </w:rPr>
        <w:t>全乡财政支出预算</w:t>
      </w:r>
      <w:r>
        <w:rPr>
          <w:rFonts w:hint="default" w:ascii="Times New Roman" w:hAnsi="Times New Roman" w:eastAsia="方正仿宋_GBK" w:cs="Times New Roman"/>
          <w:kern w:val="2"/>
          <w:sz w:val="32"/>
          <w:szCs w:val="32"/>
          <w:lang w:val="en-US" w:eastAsia="zh-CN" w:bidi="ar"/>
        </w:rPr>
        <w:t>建议</w:t>
      </w:r>
      <w:r>
        <w:rPr>
          <w:rFonts w:hint="default" w:ascii="Times New Roman" w:hAnsi="Times New Roman" w:eastAsia="方正仿宋_GBK" w:cs="Times New Roman"/>
          <w:spacing w:val="0"/>
          <w:kern w:val="2"/>
          <w:sz w:val="32"/>
          <w:szCs w:val="32"/>
          <w:lang w:val="en-US" w:eastAsia="zh-CN" w:bidi="ar"/>
        </w:rPr>
        <w:t>安排</w:t>
      </w:r>
      <w:r>
        <w:rPr>
          <w:rFonts w:hint="default" w:ascii="Times New Roman" w:hAnsi="Times New Roman" w:eastAsia="方正仿宋_GBK" w:cs="Times New Roman"/>
          <w:bCs/>
          <w:kern w:val="2"/>
          <w:sz w:val="32"/>
          <w:szCs w:val="32"/>
          <w:lang w:val="en-US" w:eastAsia="zh-CN" w:bidi="ar"/>
        </w:rPr>
        <w:t>1035.55</w:t>
      </w:r>
      <w:r>
        <w:rPr>
          <w:rFonts w:hint="default" w:ascii="Times New Roman" w:hAnsi="Times New Roman" w:eastAsia="方正仿宋_GBK" w:cs="Times New Roman"/>
          <w:spacing w:val="0"/>
          <w:kern w:val="2"/>
          <w:sz w:val="32"/>
          <w:szCs w:val="32"/>
          <w:lang w:val="en-US" w:eastAsia="zh-CN" w:bidi="ar"/>
        </w:rPr>
        <w:t>万元，</w:t>
      </w:r>
      <w:r>
        <w:rPr>
          <w:rFonts w:hint="default" w:ascii="Times New Roman" w:hAnsi="Times New Roman" w:eastAsia="方正仿宋_GBK" w:cs="Times New Roman"/>
          <w:bCs/>
          <w:kern w:val="2"/>
          <w:sz w:val="32"/>
          <w:szCs w:val="32"/>
          <w:lang w:val="en-US" w:eastAsia="zh-CN" w:bidi="ar"/>
        </w:rPr>
        <w:t>其中：一般公共服务支出预算建议安排824.55万元，文化旅游体育与传媒支出预算建议安排1.8万元，社会保障和就业支出预算建议安排84.38万元，医疗卫生与计划生育支出预算建议安排50.71万元，农林水支出预算建议安排10.88万元，节能环保支出预算建议安排30万元，住房保障支出预算建议安排33.24万元。具体财政预算支出明细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28" w:firstLine="640" w:firstLineChars="200"/>
        <w:jc w:val="both"/>
        <w:textAlignment w:val="auto"/>
        <w:rPr>
          <w:rFonts w:hint="default" w:ascii="Times New Roman" w:hAnsi="Times New Roman" w:eastAsia="方正仿宋_GBK" w:cs="Times New Roman"/>
          <w:color w:val="0000FF"/>
          <w:spacing w:val="0"/>
          <w:kern w:val="2"/>
          <w:sz w:val="32"/>
          <w:szCs w:val="32"/>
        </w:rPr>
      </w:pPr>
      <w:r>
        <w:rPr>
          <w:rFonts w:hint="default" w:ascii="Times New Roman" w:hAnsi="Times New Roman" w:eastAsia="方正仿宋_GBK" w:cs="Times New Roman"/>
          <w:spacing w:val="0"/>
          <w:kern w:val="2"/>
          <w:sz w:val="32"/>
          <w:szCs w:val="32"/>
          <w:lang w:val="en-US" w:eastAsia="zh-CN" w:bidi="ar"/>
        </w:rPr>
        <w:t>1、基本支出977.14万元，其中，在职人员工资600.73</w:t>
      </w:r>
      <w:r>
        <w:rPr>
          <w:rFonts w:hint="eastAsia" w:eastAsia="方正仿宋_GBK" w:cs="Times New Roman"/>
          <w:spacing w:val="0"/>
          <w:kern w:val="2"/>
          <w:sz w:val="32"/>
          <w:szCs w:val="32"/>
          <w:lang w:val="en-US" w:eastAsia="zh-CN" w:bidi="ar"/>
        </w:rPr>
        <w:t>万</w:t>
      </w:r>
      <w:r>
        <w:rPr>
          <w:rFonts w:hint="default" w:ascii="Times New Roman" w:hAnsi="Times New Roman" w:eastAsia="方正仿宋_GBK" w:cs="Times New Roman"/>
          <w:spacing w:val="0"/>
          <w:kern w:val="2"/>
          <w:sz w:val="32"/>
          <w:szCs w:val="32"/>
          <w:lang w:val="en-US" w:eastAsia="zh-CN" w:bidi="ar"/>
        </w:rPr>
        <w:t>元，在职人员公用经费43.08万元</w:t>
      </w:r>
      <w:r>
        <w:rPr>
          <w:rFonts w:hint="default" w:ascii="Times New Roman" w:hAnsi="Times New Roman" w:eastAsia="方正仿宋_GBK" w:cs="Times New Roman"/>
          <w:color w:val="0000FF"/>
          <w:spacing w:val="0"/>
          <w:kern w:val="2"/>
          <w:sz w:val="32"/>
          <w:szCs w:val="32"/>
          <w:lang w:val="en-US" w:eastAsia="zh-CN" w:bidi="ar"/>
        </w:rPr>
        <w:t>，</w:t>
      </w:r>
      <w:r>
        <w:rPr>
          <w:rFonts w:hint="default" w:ascii="Times New Roman" w:hAnsi="Times New Roman" w:eastAsia="方正仿宋_GBK" w:cs="Times New Roman"/>
          <w:spacing w:val="0"/>
          <w:kern w:val="2"/>
          <w:sz w:val="32"/>
          <w:szCs w:val="32"/>
          <w:lang w:val="en-US" w:eastAsia="zh-CN" w:bidi="ar"/>
        </w:rPr>
        <w:t>机关事业单位基本养老保险缴费支出71.55万元，离退休人员公用经费2.8万元，长聘及定额人员工资165万元，住房公积金33.24万元，丧葬遗属生活补助8.34万元</w:t>
      </w:r>
      <w:r>
        <w:rPr>
          <w:rFonts w:hint="default" w:ascii="Times New Roman" w:hAnsi="Times New Roman" w:eastAsia="方正仿宋_GBK" w:cs="Times New Roman"/>
          <w:color w:val="0000FF"/>
          <w:spacing w:val="0"/>
          <w:kern w:val="2"/>
          <w:sz w:val="32"/>
          <w:szCs w:val="32"/>
          <w:lang w:val="en-US" w:eastAsia="zh-CN" w:bidi="ar"/>
        </w:rPr>
        <w:t>，</w:t>
      </w:r>
      <w:r>
        <w:rPr>
          <w:rFonts w:hint="default" w:ascii="Times New Roman" w:hAnsi="Times New Roman" w:eastAsia="方正仿宋_GBK" w:cs="Times New Roman"/>
          <w:spacing w:val="0"/>
          <w:kern w:val="2"/>
          <w:sz w:val="32"/>
          <w:szCs w:val="32"/>
          <w:lang w:val="en-US" w:eastAsia="zh-CN" w:bidi="ar"/>
        </w:rPr>
        <w:t>其他社会保障和就业支出1.69万元，行政单位医疗18.49万元，事业单位医疗17.20万元，公务员医疗补助12.34万元，其他行政事业单位医疗支出2.68万元。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28" w:firstLine="640" w:firstLineChars="200"/>
        <w:jc w:val="both"/>
        <w:textAlignment w:val="auto"/>
        <w:rPr>
          <w:rFonts w:hint="default" w:ascii="Times New Roman" w:hAnsi="Times New Roman" w:eastAsia="方正仿宋_GBK" w:cs="Times New Roman"/>
          <w:bCs/>
          <w:spacing w:val="0"/>
          <w:kern w:val="2"/>
          <w:sz w:val="32"/>
          <w:szCs w:val="32"/>
        </w:rPr>
      </w:pPr>
      <w:r>
        <w:rPr>
          <w:rFonts w:hint="default" w:ascii="Times New Roman" w:hAnsi="Times New Roman" w:eastAsia="方正仿宋_GBK" w:cs="Times New Roman"/>
          <w:bCs/>
          <w:spacing w:val="0"/>
          <w:kern w:val="2"/>
          <w:sz w:val="32"/>
          <w:szCs w:val="32"/>
          <w:lang w:val="en-US" w:eastAsia="zh-CN" w:bidi="ar"/>
        </w:rPr>
        <w:t>2</w:t>
      </w:r>
      <w:r>
        <w:rPr>
          <w:rFonts w:hint="default" w:ascii="Times New Roman" w:hAnsi="Times New Roman" w:eastAsia="方正仿宋_GBK" w:cs="Times New Roman"/>
          <w:spacing w:val="0"/>
          <w:kern w:val="2"/>
          <w:sz w:val="32"/>
          <w:szCs w:val="32"/>
          <w:lang w:val="en-US" w:eastAsia="zh-CN" w:bidi="ar"/>
        </w:rPr>
        <w:t>、事业维持和发展项目支出</w:t>
      </w:r>
      <w:r>
        <w:rPr>
          <w:rFonts w:hint="default" w:ascii="Times New Roman" w:hAnsi="Times New Roman" w:eastAsia="方正仿宋_GBK" w:cs="Times New Roman"/>
          <w:bCs/>
          <w:kern w:val="2"/>
          <w:sz w:val="32"/>
          <w:szCs w:val="32"/>
          <w:lang w:val="en-US" w:eastAsia="zh-CN" w:bidi="ar"/>
        </w:rPr>
        <w:t>58.41</w:t>
      </w:r>
      <w:r>
        <w:rPr>
          <w:rFonts w:hint="default" w:ascii="Times New Roman" w:hAnsi="Times New Roman" w:eastAsia="方正仿宋_GBK" w:cs="Times New Roman"/>
          <w:spacing w:val="0"/>
          <w:kern w:val="2"/>
          <w:sz w:val="32"/>
          <w:szCs w:val="32"/>
          <w:lang w:val="en-US" w:eastAsia="zh-CN" w:bidi="ar"/>
        </w:rPr>
        <w:t>万元。</w:t>
      </w:r>
      <w:r>
        <w:rPr>
          <w:rFonts w:hint="default" w:ascii="Times New Roman" w:hAnsi="Times New Roman" w:eastAsia="方正仿宋_GBK" w:cs="Times New Roman"/>
          <w:bCs/>
          <w:spacing w:val="0"/>
          <w:kern w:val="2"/>
          <w:sz w:val="32"/>
          <w:szCs w:val="32"/>
          <w:lang w:val="en-US" w:eastAsia="zh-CN" w:bidi="ar"/>
        </w:rPr>
        <w:t>主要用于以下项目支出：人大代表活动经费5.12万元，人大主席团工</w:t>
      </w:r>
      <w:r>
        <w:rPr>
          <w:rFonts w:hint="default" w:ascii="Times New Roman" w:hAnsi="Times New Roman" w:eastAsia="仿宋_GB2312" w:cs="Times New Roman"/>
          <w:bCs/>
          <w:spacing w:val="0"/>
          <w:kern w:val="2"/>
          <w:sz w:val="32"/>
          <w:szCs w:val="32"/>
          <w:lang w:val="en-US" w:eastAsia="zh-CN" w:bidi="ar"/>
        </w:rPr>
        <w:t>作经</w:t>
      </w:r>
      <w:r>
        <w:rPr>
          <w:rFonts w:hint="default" w:ascii="Times New Roman" w:hAnsi="Times New Roman" w:eastAsia="方正仿宋_GBK" w:cs="Times New Roman"/>
          <w:bCs/>
          <w:spacing w:val="0"/>
          <w:kern w:val="2"/>
          <w:sz w:val="32"/>
          <w:szCs w:val="32"/>
          <w:lang w:val="en-US" w:eastAsia="zh-CN" w:bidi="ar"/>
        </w:rPr>
        <w:t>费1万元，人代会议经费4.61万元，文化站活动经费及共享工程运行费1.8万元，村民小组补助10.88万元，民族乡发展经费5万元，垃圾热解站运行经费30万元。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720" w:firstLineChars="225"/>
        <w:jc w:val="both"/>
        <w:textAlignment w:val="auto"/>
        <w:rPr>
          <w:rFonts w:hint="default" w:ascii="Times New Roman" w:hAnsi="Times New Roman" w:eastAsia="方正黑体_GBK" w:cs="Times New Roman"/>
          <w:kern w:val="2"/>
          <w:sz w:val="32"/>
          <w:szCs w:val="32"/>
          <w:lang w:val="en-US" w:eastAsia="zh-CN" w:bidi="ar"/>
        </w:rPr>
      </w:pPr>
      <w:r>
        <w:rPr>
          <w:rFonts w:hint="default" w:ascii="Times New Roman" w:hAnsi="Times New Roman" w:eastAsia="方正黑体_GBK" w:cs="Times New Roman"/>
          <w:kern w:val="2"/>
          <w:sz w:val="32"/>
          <w:szCs w:val="32"/>
          <w:lang w:val="en-US" w:eastAsia="zh-CN" w:bidi="ar"/>
        </w:rPr>
        <w:t>四、其他需要说明的问题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kern w:val="2"/>
          <w:sz w:val="32"/>
          <w:szCs w:val="32"/>
          <w:lang w:val="en-US" w:eastAsia="zh-CN" w:bidi="ar"/>
        </w:rPr>
      </w:pPr>
      <w:r>
        <w:rPr>
          <w:rFonts w:hint="default" w:ascii="Times New Roman" w:hAnsi="Times New Roman" w:eastAsia="方正楷体_GBK" w:cs="Times New Roman"/>
          <w:kern w:val="2"/>
          <w:sz w:val="32"/>
          <w:szCs w:val="32"/>
          <w:lang w:val="en-US" w:eastAsia="zh-CN" w:bidi="ar"/>
        </w:rPr>
        <w:t>（一）需要说明的收支问题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28"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Cs/>
          <w:spacing w:val="0"/>
          <w:kern w:val="2"/>
          <w:sz w:val="32"/>
          <w:szCs w:val="32"/>
          <w:lang w:val="en-US" w:eastAsia="zh-CN" w:bidi="ar"/>
        </w:rPr>
        <w:t>2024年乡财政预算编制中，从收支情况反映出，“人员工资、津补贴、机构正常运转、乡政府重点工作”等刚性支出需求远远超过本级可用财力的增长，年度中需加大征管力度做到应收尽收并努力争取完成年初预算任务及转移支付的实现。</w:t>
      </w:r>
      <w:r>
        <w:rPr>
          <w:rFonts w:hint="default" w:ascii="Times New Roman" w:hAnsi="Times New Roman" w:eastAsia="方正仿宋_GBK" w:cs="Times New Roman"/>
          <w:kern w:val="2"/>
          <w:sz w:val="32"/>
          <w:szCs w:val="32"/>
          <w:lang w:val="en-US" w:eastAsia="zh-CN" w:bidi="ar"/>
        </w:rPr>
        <w:t>2024年必须严格执行财政预算支出项目的安排，在预算执行过程中实现的新增财力，实行</w:t>
      </w:r>
      <w:bookmarkStart w:id="0" w:name="_GoBack"/>
      <w:bookmarkEnd w:id="0"/>
      <w:r>
        <w:rPr>
          <w:rFonts w:hint="eastAsia" w:eastAsia="方正仿宋_GBK" w:cs="Times New Roman"/>
          <w:kern w:val="2"/>
          <w:sz w:val="32"/>
          <w:szCs w:val="32"/>
          <w:lang w:val="en-US" w:eastAsia="zh-CN" w:bidi="ar"/>
        </w:rPr>
        <w:t>以丰补歉</w:t>
      </w:r>
      <w:r>
        <w:rPr>
          <w:rFonts w:hint="default" w:ascii="Times New Roman" w:hAnsi="Times New Roman" w:eastAsia="方正仿宋_GBK" w:cs="Times New Roman"/>
          <w:kern w:val="2"/>
          <w:sz w:val="32"/>
          <w:szCs w:val="32"/>
          <w:lang w:val="en-US" w:eastAsia="zh-CN" w:bidi="ar"/>
        </w:rPr>
        <w:t>用于消化赤字和纳入预算稳定调节基金进行管理。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kern w:val="2"/>
          <w:sz w:val="32"/>
          <w:szCs w:val="32"/>
          <w:lang w:val="en-US" w:eastAsia="zh-CN" w:bidi="ar"/>
        </w:rPr>
      </w:pPr>
      <w:r>
        <w:rPr>
          <w:rFonts w:hint="default" w:ascii="Times New Roman" w:hAnsi="Times New Roman" w:eastAsia="方正楷体_GBK" w:cs="Times New Roman"/>
          <w:kern w:val="2"/>
          <w:sz w:val="32"/>
          <w:szCs w:val="32"/>
          <w:lang w:val="en-US" w:eastAsia="zh-CN" w:bidi="ar"/>
        </w:rPr>
        <w:t>（二）在编人员及在编车辆说明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28" w:firstLine="640" w:firstLineChars="200"/>
        <w:jc w:val="both"/>
        <w:textAlignment w:val="auto"/>
        <w:rPr>
          <w:rFonts w:hint="default" w:ascii="Times New Roman" w:hAnsi="Times New Roman" w:eastAsia="方正仿宋_GBK" w:cs="Times New Roman"/>
          <w:spacing w:val="0"/>
          <w:kern w:val="2"/>
          <w:sz w:val="32"/>
          <w:szCs w:val="32"/>
        </w:rPr>
      </w:pPr>
      <w:r>
        <w:rPr>
          <w:rFonts w:hint="default" w:ascii="Times New Roman" w:hAnsi="Times New Roman" w:eastAsia="方正仿宋_GBK" w:cs="Times New Roman"/>
          <w:spacing w:val="0"/>
          <w:kern w:val="2"/>
          <w:sz w:val="32"/>
          <w:szCs w:val="32"/>
          <w:lang w:val="en-US" w:eastAsia="zh-CN" w:bidi="ar"/>
        </w:rPr>
        <w:t>在编制2024年预算草案时，户撒阿昌族乡人民政府编制人数为74人，2023年年末在编实有人数58人，其中，财政全供养在职人员58人，退休人员28人，其他长聘人员55人，在编实有车辆5辆。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kern w:val="2"/>
          <w:sz w:val="32"/>
          <w:szCs w:val="32"/>
          <w:lang w:val="en-US" w:eastAsia="zh-CN" w:bidi="ar"/>
        </w:rPr>
      </w:pPr>
      <w:r>
        <w:rPr>
          <w:rFonts w:hint="default" w:ascii="Times New Roman" w:hAnsi="Times New Roman" w:eastAsia="方正楷体_GBK" w:cs="Times New Roman"/>
          <w:kern w:val="2"/>
          <w:sz w:val="32"/>
          <w:szCs w:val="32"/>
          <w:lang w:val="en-US" w:eastAsia="zh-CN" w:bidi="ar"/>
        </w:rPr>
        <w:t>（三）特别说明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28"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方正仿宋_GBK" w:cs="Times New Roman"/>
          <w:kern w:val="2"/>
          <w:sz w:val="32"/>
          <w:szCs w:val="32"/>
          <w:lang w:val="en-US" w:eastAsia="zh-CN" w:bidi="ar"/>
        </w:rPr>
        <w:t>由于在2024年编制预算草案和报告期间，县、乡（镇）财政正处于对账调整期间，因此《关于户撒乡2023年地方财政预算执行情况和2024年地方财政预算的报告》中2024年预算执行情况有关数据均为快报数，待与县财政结算后，根据县财政批复情况，专题向乡人大主席团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kern w:val="2"/>
          <w:sz w:val="32"/>
          <w:szCs w:val="32"/>
          <w:lang w:val="en-US" w:eastAsia="zh-CN" w:bidi="ar"/>
        </w:rPr>
      </w:pPr>
      <w:r>
        <w:rPr>
          <w:rFonts w:hint="default" w:ascii="Times New Roman" w:hAnsi="Times New Roman" w:eastAsia="方正楷体_GBK" w:cs="Times New Roman"/>
          <w:kern w:val="2"/>
          <w:sz w:val="32"/>
          <w:szCs w:val="32"/>
          <w:lang w:val="en-US" w:eastAsia="zh-CN" w:bidi="ar"/>
        </w:rPr>
        <w:t>（四）有关空白表的说明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28"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为了保持表格的完整性，故空白表也一同附后。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kZDkyYjgwNWIzODY5YmRkNThhMGI1OWJkNzZkZDMifQ=="/>
  </w:docVars>
  <w:rsids>
    <w:rsidRoot w:val="00000000"/>
    <w:rsid w:val="0A491009"/>
    <w:rsid w:val="562B6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keepNext w:val="0"/>
      <w:keepLines w:val="0"/>
      <w:widowControl w:val="0"/>
      <w:suppressLineNumbers w:val="0"/>
      <w:suppressAutoHyphens/>
      <w:spacing w:before="0" w:beforeAutospacing="0" w:after="0" w:afterAutospacing="0"/>
      <w:ind w:left="0" w:right="0" w:firstLine="420" w:firstLineChars="200"/>
      <w:jc w:val="both"/>
    </w:pPr>
    <w:rPr>
      <w:rFonts w:hint="default" w:ascii="Times New Roman" w:hAnsi="Times New Roman" w:eastAsia="宋体" w:cs="Times New Roman"/>
      <w:kern w:val="2"/>
      <w:sz w:val="28"/>
      <w:szCs w:val="2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2024-02-05T02:30:00Z</dcterms:created>
  <dc:creator>Lenovo</dc:creator>
  <cp:lastModifiedBy>Administrator</cp:lastModifiedBy>
  <dcterms:modified xsi:type="dcterms:W3CDTF">2024-02-26T01:15:07Z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527358FC177342869E1E3E33415AD9D0_12</vt:lpwstr>
  </property>
</Properties>
</file>