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autoSpaceDE/>
        <w:autoSpaceDN/>
        <w:bidi w:val="0"/>
        <w:adjustRightInd/>
        <w:snapToGrid w:val="0"/>
        <w:spacing w:line="560" w:lineRule="exact"/>
        <w:ind w:firstLine="0" w:firstLineChars="0"/>
        <w:jc w:val="center"/>
        <w:textAlignment w:val="auto"/>
        <w:rPr>
          <w:rFonts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陇川县营商环境全面提质年工作方案</w:t>
      </w:r>
    </w:p>
    <w:p>
      <w:pPr>
        <w:keepNext w:val="0"/>
        <w:keepLines w:val="0"/>
        <w:pageBreakBefore w:val="0"/>
        <w:kinsoku/>
        <w:overflowPunct/>
        <w:autoSpaceDE/>
        <w:autoSpaceDN/>
        <w:bidi w:val="0"/>
        <w:adjustRightInd/>
        <w:snapToGrid w:val="0"/>
        <w:spacing w:line="560" w:lineRule="exact"/>
        <w:ind w:firstLine="880"/>
        <w:jc w:val="center"/>
        <w:textAlignment w:val="auto"/>
        <w:rPr>
          <w:rFonts w:ascii="方正小标宋_GBK" w:hAnsi="方正小标宋_GBK" w:eastAsia="方正小标宋_GBK" w:cs="方正小标宋_GBK"/>
          <w:sz w:val="44"/>
          <w:szCs w:val="44"/>
        </w:rPr>
      </w:pPr>
    </w:p>
    <w:p>
      <w:pPr>
        <w:pStyle w:val="6"/>
        <w:keepNext w:val="0"/>
        <w:keepLines w:val="0"/>
        <w:pageBreakBefore w:val="0"/>
        <w:widowControl/>
        <w:kinsoku/>
        <w:overflowPunct/>
        <w:autoSpaceDE/>
        <w:autoSpaceDN/>
        <w:bidi w:val="0"/>
        <w:adjustRightInd/>
        <w:snapToGrid w:val="0"/>
        <w:spacing w:beforeAutospacing="0" w:afterAutospacing="0" w:line="560" w:lineRule="exact"/>
        <w:ind w:firstLine="700" w:firstLineChars="200"/>
        <w:jc w:val="both"/>
        <w:textAlignment w:val="auto"/>
        <w:rPr>
          <w:rFonts w:ascii="Times New Roman" w:hAnsi="Times New Roman" w:eastAsia="方正仿宋_GBK"/>
          <w:spacing w:val="15"/>
          <w:sz w:val="32"/>
          <w:szCs w:val="32"/>
        </w:rPr>
      </w:pPr>
      <w:r>
        <w:rPr>
          <w:rFonts w:ascii="Times New Roman" w:hAnsi="Times New Roman" w:eastAsia="方正仿宋_GBK"/>
          <w:spacing w:val="15"/>
          <w:sz w:val="32"/>
          <w:szCs w:val="32"/>
        </w:rPr>
        <w:t>优化营商环境，是以习近平同志为核心的党中央根据新形势新发展新要求作出的重大决策部署，是增强</w:t>
      </w:r>
      <w:r>
        <w:rPr>
          <w:rFonts w:hint="eastAsia" w:ascii="Times New Roman" w:hAnsi="Times New Roman" w:eastAsia="方正仿宋_GBK"/>
          <w:spacing w:val="15"/>
          <w:sz w:val="32"/>
          <w:szCs w:val="32"/>
        </w:rPr>
        <w:t>微观</w:t>
      </w:r>
      <w:r>
        <w:rPr>
          <w:rFonts w:ascii="Times New Roman" w:hAnsi="Times New Roman" w:eastAsia="方正仿宋_GBK"/>
          <w:spacing w:val="15"/>
          <w:sz w:val="32"/>
          <w:szCs w:val="32"/>
        </w:rPr>
        <w:t>主体活力、释放全社会创新创业创造动能的重要举措，是全面激发市场主体活力和社会创造力的重要内容。为加快打造市场化、法治化、国际化营商环境和公平开放统一高效的市场环境，推动营商环境全面提质增效，按照《中共德宏州委办公室 德宏州人民政府办公室关于印发〈德宏州打造一流营商环境三年行动计划（2022—2024年）〉的通知》（德办发〔2023〕8号）</w:t>
      </w:r>
      <w:r>
        <w:rPr>
          <w:rFonts w:hint="eastAsia" w:ascii="Times New Roman" w:hAnsi="Times New Roman" w:eastAsia="方正仿宋_GBK"/>
          <w:spacing w:val="15"/>
          <w:sz w:val="32"/>
          <w:szCs w:val="32"/>
        </w:rPr>
        <w:t>、《中共陇川县委办公室 陇川县人民政府办公室关于印发&lt;陇川县加快县域经济高质量发展实施意见（2023—2025年）及相关配套方案&gt;的通知》（陇办发〔2023〕41号）</w:t>
      </w:r>
      <w:r>
        <w:rPr>
          <w:rFonts w:ascii="Times New Roman" w:hAnsi="Times New Roman" w:eastAsia="方正仿宋_GBK"/>
          <w:spacing w:val="15"/>
          <w:sz w:val="32"/>
          <w:szCs w:val="32"/>
        </w:rPr>
        <w:t>精神</w:t>
      </w:r>
      <w:r>
        <w:rPr>
          <w:rFonts w:hint="eastAsia" w:ascii="Times New Roman" w:hAnsi="Times New Roman" w:eastAsia="方正仿宋_GBK"/>
          <w:spacing w:val="15"/>
          <w:sz w:val="32"/>
          <w:szCs w:val="32"/>
        </w:rPr>
        <w:t>，</w:t>
      </w:r>
      <w:r>
        <w:rPr>
          <w:rFonts w:ascii="Times New Roman" w:hAnsi="Times New Roman" w:eastAsia="方正仿宋_GBK"/>
          <w:spacing w:val="15"/>
          <w:sz w:val="32"/>
          <w:szCs w:val="32"/>
        </w:rPr>
        <w:t>制定本方案。</w:t>
      </w:r>
    </w:p>
    <w:p>
      <w:pPr>
        <w:pStyle w:val="6"/>
        <w:keepNext w:val="0"/>
        <w:keepLines w:val="0"/>
        <w:pageBreakBefore w:val="0"/>
        <w:widowControl/>
        <w:kinsoku/>
        <w:overflowPunct/>
        <w:autoSpaceDE/>
        <w:autoSpaceDN/>
        <w:bidi w:val="0"/>
        <w:adjustRightInd/>
        <w:snapToGrid w:val="0"/>
        <w:spacing w:beforeAutospacing="0" w:afterAutospacing="0" w:line="560" w:lineRule="exact"/>
        <w:ind w:firstLine="640" w:firstLineChars="200"/>
        <w:jc w:val="both"/>
        <w:textAlignment w:val="auto"/>
        <w:rPr>
          <w:rFonts w:ascii="方正黑体_GBK" w:hAnsi="方正黑体_GBK" w:eastAsia="方正黑体_GBK" w:cs="方正黑体_GBK"/>
          <w:bCs/>
          <w:sz w:val="32"/>
          <w:szCs w:val="32"/>
        </w:rPr>
      </w:pPr>
      <w:r>
        <w:rPr>
          <w:rStyle w:val="9"/>
          <w:rFonts w:hint="eastAsia" w:ascii="方正黑体_GBK" w:hAnsi="方正黑体_GBK" w:eastAsia="方正黑体_GBK" w:cs="方正黑体_GBK"/>
          <w:b w:val="0"/>
          <w:bCs/>
          <w:sz w:val="32"/>
          <w:szCs w:val="32"/>
        </w:rPr>
        <w:t>一、指导思想</w:t>
      </w:r>
    </w:p>
    <w:p>
      <w:pPr>
        <w:keepNext w:val="0"/>
        <w:keepLines w:val="0"/>
        <w:pageBreakBefore w:val="0"/>
        <w:widowControl/>
        <w:kinsoku/>
        <w:overflowPunct/>
        <w:autoSpaceDE/>
        <w:autoSpaceDN/>
        <w:bidi w:val="0"/>
        <w:adjustRightInd/>
        <w:snapToGrid w:val="0"/>
        <w:spacing w:line="560" w:lineRule="exact"/>
        <w:ind w:firstLine="700"/>
        <w:textAlignment w:val="auto"/>
        <w:rPr>
          <w:rFonts w:cs="Times New Roman"/>
          <w:szCs w:val="32"/>
        </w:rPr>
      </w:pPr>
      <w:r>
        <w:rPr>
          <w:rFonts w:cs="Times New Roman"/>
          <w:spacing w:val="15"/>
          <w:kern w:val="0"/>
          <w:szCs w:val="32"/>
          <w:lang w:bidi="ar"/>
        </w:rPr>
        <w:t>以习近平新时代中国特色社会主义思想为指导，深入贯彻党的二十大精神，认真落实党中央、国务院决策部署，省委、省政府和州委、州政府</w:t>
      </w:r>
      <w:r>
        <w:rPr>
          <w:rFonts w:hint="eastAsia" w:cs="Times New Roman"/>
          <w:spacing w:val="15"/>
          <w:kern w:val="0"/>
          <w:szCs w:val="32"/>
          <w:lang w:bidi="ar"/>
        </w:rPr>
        <w:t>及县委、县政府</w:t>
      </w:r>
      <w:r>
        <w:rPr>
          <w:rFonts w:cs="Times New Roman"/>
          <w:spacing w:val="15"/>
          <w:kern w:val="0"/>
          <w:szCs w:val="32"/>
          <w:lang w:bidi="ar"/>
        </w:rPr>
        <w:t>以及“清廉云南”建设工作要求，进一步激发市场活力，着力营造市场化、法治化、国际化、便利化的一流营商环境，推动</w:t>
      </w:r>
      <w:r>
        <w:rPr>
          <w:rFonts w:hint="eastAsia" w:cs="Times New Roman"/>
          <w:spacing w:val="15"/>
          <w:kern w:val="0"/>
          <w:szCs w:val="32"/>
          <w:lang w:bidi="ar"/>
        </w:rPr>
        <w:t>陇川</w:t>
      </w:r>
      <w:r>
        <w:rPr>
          <w:rFonts w:cs="Times New Roman"/>
          <w:spacing w:val="15"/>
          <w:kern w:val="0"/>
          <w:szCs w:val="32"/>
          <w:lang w:bidi="ar"/>
        </w:rPr>
        <w:t>高质量跨越式发展。</w:t>
      </w:r>
    </w:p>
    <w:p>
      <w:pPr>
        <w:pStyle w:val="6"/>
        <w:keepNext w:val="0"/>
        <w:keepLines w:val="0"/>
        <w:pageBreakBefore w:val="0"/>
        <w:widowControl/>
        <w:kinsoku/>
        <w:overflowPunct/>
        <w:autoSpaceDE/>
        <w:autoSpaceDN/>
        <w:bidi w:val="0"/>
        <w:adjustRightInd/>
        <w:snapToGrid w:val="0"/>
        <w:spacing w:beforeAutospacing="0" w:afterAutospacing="0" w:line="560" w:lineRule="exact"/>
        <w:ind w:firstLine="640" w:firstLineChars="200"/>
        <w:jc w:val="both"/>
        <w:textAlignment w:val="auto"/>
        <w:rPr>
          <w:rStyle w:val="9"/>
          <w:rFonts w:ascii="方正黑体_GBK" w:hAnsi="方正黑体_GBK" w:eastAsia="方正黑体_GBK" w:cs="方正黑体_GBK"/>
          <w:b w:val="0"/>
          <w:bCs/>
          <w:sz w:val="32"/>
          <w:szCs w:val="32"/>
        </w:rPr>
      </w:pPr>
      <w:r>
        <w:rPr>
          <w:rStyle w:val="9"/>
          <w:rFonts w:hint="eastAsia" w:ascii="方正黑体_GBK" w:hAnsi="方正黑体_GBK" w:eastAsia="方正黑体_GBK" w:cs="方正黑体_GBK"/>
          <w:b w:val="0"/>
          <w:bCs/>
          <w:sz w:val="32"/>
          <w:szCs w:val="32"/>
        </w:rPr>
        <w:t>二、工作目标</w:t>
      </w:r>
    </w:p>
    <w:p>
      <w:pPr>
        <w:keepNext w:val="0"/>
        <w:keepLines w:val="0"/>
        <w:pageBreakBefore w:val="0"/>
        <w:widowControl/>
        <w:kinsoku/>
        <w:overflowPunct/>
        <w:autoSpaceDE/>
        <w:autoSpaceDN/>
        <w:bidi w:val="0"/>
        <w:adjustRightInd/>
        <w:snapToGrid w:val="0"/>
        <w:spacing w:line="560" w:lineRule="exact"/>
        <w:ind w:firstLine="700"/>
        <w:textAlignment w:val="auto"/>
        <w:rPr>
          <w:rFonts w:cs="Times New Roman"/>
          <w:szCs w:val="32"/>
        </w:rPr>
      </w:pPr>
      <w:r>
        <w:rPr>
          <w:rFonts w:cs="Times New Roman"/>
          <w:spacing w:val="15"/>
          <w:kern w:val="0"/>
          <w:szCs w:val="32"/>
          <w:lang w:bidi="ar"/>
        </w:rPr>
        <w:t>围绕</w:t>
      </w:r>
      <w:r>
        <w:rPr>
          <w:rFonts w:hint="eastAsia" w:cs="Times New Roman"/>
          <w:spacing w:val="15"/>
          <w:kern w:val="0"/>
          <w:szCs w:val="32"/>
          <w:lang w:bidi="ar"/>
        </w:rPr>
        <w:t>陇川县</w:t>
      </w:r>
      <w:r>
        <w:rPr>
          <w:rFonts w:cs="Times New Roman"/>
          <w:spacing w:val="15"/>
          <w:kern w:val="0"/>
          <w:szCs w:val="32"/>
          <w:lang w:bidi="ar"/>
        </w:rPr>
        <w:t>打造一流营商环境三年行动计划，立足新发展阶段，贯彻新发展理念，主动融入新发展格局，持续推进作风革命、效能革命，深化重点领域改革、破除体制机制障碍、提升服务能力与质效、支持重点区域创新发展，从市场、创新、政务、法治、人文“五大环境”推动</w:t>
      </w:r>
      <w:r>
        <w:rPr>
          <w:rFonts w:hint="eastAsia" w:cs="Times New Roman"/>
          <w:spacing w:val="15"/>
          <w:kern w:val="0"/>
          <w:szCs w:val="32"/>
          <w:lang w:bidi="ar"/>
        </w:rPr>
        <w:t>陇川县</w:t>
      </w:r>
      <w:r>
        <w:rPr>
          <w:rFonts w:cs="Times New Roman"/>
          <w:spacing w:val="15"/>
          <w:kern w:val="0"/>
          <w:szCs w:val="32"/>
          <w:lang w:bidi="ar"/>
        </w:rPr>
        <w:t>营商环境全面提质。</w:t>
      </w:r>
    </w:p>
    <w:p>
      <w:pPr>
        <w:pStyle w:val="6"/>
        <w:keepNext w:val="0"/>
        <w:keepLines w:val="0"/>
        <w:pageBreakBefore w:val="0"/>
        <w:widowControl/>
        <w:kinsoku/>
        <w:overflowPunct/>
        <w:autoSpaceDE/>
        <w:autoSpaceDN/>
        <w:bidi w:val="0"/>
        <w:adjustRightInd/>
        <w:snapToGrid w:val="0"/>
        <w:spacing w:beforeAutospacing="0" w:afterAutospacing="0" w:line="560" w:lineRule="exact"/>
        <w:ind w:firstLine="640" w:firstLineChars="200"/>
        <w:jc w:val="both"/>
        <w:textAlignment w:val="auto"/>
        <w:rPr>
          <w:rFonts w:ascii="Times New Roman" w:hAnsi="Times New Roman" w:eastAsia="方正仿宋_GBK"/>
          <w:sz w:val="32"/>
          <w:szCs w:val="32"/>
        </w:rPr>
      </w:pPr>
      <w:r>
        <w:rPr>
          <w:rStyle w:val="9"/>
          <w:rFonts w:hint="eastAsia" w:ascii="方正黑体_GBK" w:hAnsi="方正黑体_GBK" w:eastAsia="方正黑体_GBK" w:cs="方正黑体_GBK"/>
          <w:b w:val="0"/>
          <w:bCs/>
          <w:sz w:val="32"/>
          <w:szCs w:val="32"/>
        </w:rPr>
        <w:t>三、围绕企业生命周期，全面推进营商环境提质增效</w:t>
      </w:r>
    </w:p>
    <w:p>
      <w:pPr>
        <w:keepNext w:val="0"/>
        <w:keepLines w:val="0"/>
        <w:pageBreakBefore w:val="0"/>
        <w:widowControl/>
        <w:kinsoku/>
        <w:overflowPunct/>
        <w:autoSpaceDE/>
        <w:autoSpaceDN/>
        <w:bidi w:val="0"/>
        <w:adjustRightInd/>
        <w:snapToGrid w:val="0"/>
        <w:spacing w:line="560" w:lineRule="exact"/>
        <w:ind w:firstLine="700"/>
        <w:textAlignment w:val="auto"/>
        <w:rPr>
          <w:rStyle w:val="9"/>
          <w:rFonts w:hint="eastAsia" w:ascii="方正楷体_GBK" w:hAnsi="方正楷体_GBK" w:eastAsia="方正楷体_GBK" w:cs="方正楷体_GBK"/>
          <w:b w:val="0"/>
          <w:bCs/>
          <w:spacing w:val="15"/>
          <w:kern w:val="0"/>
          <w:szCs w:val="32"/>
          <w:lang w:bidi="ar"/>
        </w:rPr>
      </w:pPr>
      <w:r>
        <w:rPr>
          <w:rStyle w:val="9"/>
          <w:rFonts w:hint="eastAsia" w:ascii="方正楷体_GBK" w:hAnsi="方正楷体_GBK" w:eastAsia="方正楷体_GBK" w:cs="方正楷体_GBK"/>
          <w:b w:val="0"/>
          <w:bCs/>
          <w:spacing w:val="15"/>
          <w:kern w:val="0"/>
          <w:szCs w:val="32"/>
          <w:lang w:bidi="ar"/>
        </w:rPr>
        <w:t>（一）推进市场准入与退出建设。</w:t>
      </w:r>
      <w:r>
        <w:rPr>
          <w:rFonts w:cs="Times New Roman"/>
          <w:spacing w:val="15"/>
          <w:kern w:val="0"/>
          <w:szCs w:val="32"/>
          <w:lang w:bidi="ar"/>
        </w:rPr>
        <w:t>常态化开展违背市场准入负面清单案例归集和破除工作，清理破除市场准入显性和隐性壁垒，推动“非禁即入”普遍落实。贯彻落实《</w:t>
      </w:r>
      <w:r>
        <w:rPr>
          <w:rFonts w:hint="eastAsia" w:cs="Times New Roman"/>
          <w:spacing w:val="15"/>
          <w:kern w:val="0"/>
          <w:szCs w:val="32"/>
          <w:lang w:bidi="ar"/>
        </w:rPr>
        <w:t>德宏州</w:t>
      </w:r>
      <w:r>
        <w:rPr>
          <w:rFonts w:cs="Times New Roman"/>
          <w:spacing w:val="15"/>
          <w:kern w:val="0"/>
          <w:szCs w:val="32"/>
          <w:lang w:bidi="ar"/>
        </w:rPr>
        <w:t>公共资源交易领域清除隐性壁垒专项整治工作方案》，开展公共资源交易领域清除隐性壁垒专项整治。积极配合</w:t>
      </w:r>
      <w:r>
        <w:rPr>
          <w:rFonts w:hint="eastAsia" w:cs="Times New Roman"/>
          <w:spacing w:val="15"/>
          <w:kern w:val="0"/>
          <w:szCs w:val="32"/>
          <w:lang w:bidi="ar"/>
        </w:rPr>
        <w:t>州</w:t>
      </w:r>
      <w:r>
        <w:rPr>
          <w:rFonts w:cs="Times New Roman"/>
          <w:spacing w:val="15"/>
          <w:kern w:val="0"/>
          <w:szCs w:val="32"/>
          <w:lang w:bidi="ar"/>
        </w:rPr>
        <w:t>级推进市场准入效能评估</w:t>
      </w:r>
      <w:r>
        <w:rPr>
          <w:rFonts w:hint="eastAsia" w:cs="Times New Roman"/>
          <w:spacing w:val="15"/>
          <w:kern w:val="0"/>
          <w:szCs w:val="32"/>
          <w:lang w:bidi="ar"/>
        </w:rPr>
        <w:t>（</w:t>
      </w:r>
      <w:r>
        <w:rPr>
          <w:rFonts w:cs="Times New Roman"/>
          <w:spacing w:val="15"/>
          <w:kern w:val="0"/>
          <w:szCs w:val="32"/>
          <w:lang w:bidi="ar"/>
        </w:rPr>
        <w:t>云南试点</w:t>
      </w:r>
      <w:r>
        <w:rPr>
          <w:rFonts w:hint="eastAsia" w:cs="Times New Roman"/>
          <w:spacing w:val="15"/>
          <w:kern w:val="0"/>
          <w:szCs w:val="32"/>
          <w:lang w:bidi="ar"/>
        </w:rPr>
        <w:t>）</w:t>
      </w:r>
      <w:r>
        <w:rPr>
          <w:rFonts w:cs="Times New Roman"/>
          <w:spacing w:val="15"/>
          <w:kern w:val="0"/>
          <w:szCs w:val="32"/>
          <w:lang w:bidi="ar"/>
        </w:rPr>
        <w:t>，探索创新市场准入效能评估结果应用范围，推进市场准入建设。做好市场准入负面清单与行政许可事项清单的比对，推动清单事项网上办理全覆盖。深入推进“证照分离”“一照多址”改革，对涉企经营许可事项实施全覆盖清单管理，有效解决“准入不准营”。进一步健全完善歇业备案制度，加强部门间信息共享，学习借鉴歇业登记“一件事一次办”试点经验。充分应用开办企业“一窗通”网上服务平台功能，简化登记材料，提高线上办理效率、数量及占比。提升企业注销便利度。按照省级安排部署推动外资企业登记注册全程网办，持续推进电子营业执照、电子印章同步发放，进一步深化拓展电子营业执照应用场景。加大市场主体培育力度</w:t>
      </w:r>
      <w:r>
        <w:rPr>
          <w:rFonts w:hint="eastAsia" w:cs="Times New Roman"/>
          <w:spacing w:val="15"/>
          <w:kern w:val="0"/>
          <w:szCs w:val="32"/>
          <w:lang w:bidi="ar"/>
        </w:rPr>
        <w:t>。</w:t>
      </w:r>
      <w:r>
        <w:rPr>
          <w:rStyle w:val="9"/>
          <w:rFonts w:hint="eastAsia" w:ascii="方正楷体_GBK" w:hAnsi="方正楷体_GBK" w:eastAsia="方正楷体_GBK" w:cs="方正楷体_GBK"/>
          <w:b w:val="0"/>
          <w:bCs/>
          <w:spacing w:val="15"/>
          <w:kern w:val="0"/>
          <w:szCs w:val="32"/>
          <w:lang w:bidi="ar"/>
        </w:rPr>
        <w:t>（牵头单位：县发展和改革局、</w:t>
      </w:r>
      <w:r>
        <w:rPr>
          <w:rStyle w:val="9"/>
          <w:rFonts w:hint="eastAsia" w:ascii="方正楷体_GBK" w:hAnsi="方正楷体_GBK" w:eastAsia="方正楷体_GBK" w:cs="方正楷体_GBK"/>
          <w:b w:val="0"/>
          <w:bCs/>
          <w:spacing w:val="15"/>
          <w:kern w:val="0"/>
          <w:szCs w:val="32"/>
          <w:lang w:eastAsia="zh-CN" w:bidi="ar"/>
        </w:rPr>
        <w:t>县市场监督管理局</w:t>
      </w:r>
      <w:r>
        <w:rPr>
          <w:rStyle w:val="9"/>
          <w:rFonts w:hint="eastAsia" w:ascii="方正楷体_GBK" w:hAnsi="方正楷体_GBK" w:eastAsia="方正楷体_GBK" w:cs="方正楷体_GBK"/>
          <w:b w:val="0"/>
          <w:bCs/>
          <w:spacing w:val="15"/>
          <w:kern w:val="0"/>
          <w:szCs w:val="32"/>
          <w:lang w:bidi="ar"/>
        </w:rPr>
        <w:t>、县政务服务管理局；责任单位：县公安局、县司法局、县财政局、</w:t>
      </w:r>
      <w:r>
        <w:rPr>
          <w:rStyle w:val="9"/>
          <w:rFonts w:hint="eastAsia" w:ascii="方正楷体_GBK" w:hAnsi="方正楷体_GBK" w:eastAsia="方正楷体_GBK" w:cs="方正楷体_GBK"/>
          <w:b w:val="0"/>
          <w:bCs/>
          <w:spacing w:val="15"/>
          <w:kern w:val="0"/>
          <w:szCs w:val="32"/>
          <w:lang w:eastAsia="zh-CN" w:bidi="ar"/>
        </w:rPr>
        <w:t>县人力资源和社会保障局</w:t>
      </w:r>
      <w:r>
        <w:rPr>
          <w:rStyle w:val="9"/>
          <w:rFonts w:hint="eastAsia" w:ascii="方正楷体_GBK" w:hAnsi="方正楷体_GBK" w:eastAsia="方正楷体_GBK" w:cs="方正楷体_GBK"/>
          <w:b w:val="0"/>
          <w:bCs/>
          <w:spacing w:val="15"/>
          <w:kern w:val="0"/>
          <w:szCs w:val="32"/>
          <w:lang w:bidi="ar"/>
        </w:rPr>
        <w:t>、</w:t>
      </w:r>
      <w:r>
        <w:rPr>
          <w:rStyle w:val="9"/>
          <w:rFonts w:hint="eastAsia" w:ascii="方正楷体_GBK" w:hAnsi="方正楷体_GBK" w:eastAsia="方正楷体_GBK" w:cs="方正楷体_GBK"/>
          <w:b w:val="0"/>
          <w:bCs/>
          <w:spacing w:val="15"/>
          <w:kern w:val="0"/>
          <w:szCs w:val="32"/>
          <w:lang w:eastAsia="zh-CN" w:bidi="ar"/>
        </w:rPr>
        <w:t>县住房和城乡建设局</w:t>
      </w:r>
      <w:r>
        <w:rPr>
          <w:rStyle w:val="9"/>
          <w:rFonts w:hint="eastAsia" w:ascii="方正楷体_GBK" w:hAnsi="方正楷体_GBK" w:eastAsia="方正楷体_GBK" w:cs="方正楷体_GBK"/>
          <w:b w:val="0"/>
          <w:bCs/>
          <w:spacing w:val="15"/>
          <w:kern w:val="0"/>
          <w:szCs w:val="32"/>
          <w:lang w:bidi="ar"/>
        </w:rPr>
        <w:t>、县税务局、人行陇川县支行等有关单位，</w:t>
      </w:r>
      <w:r>
        <w:rPr>
          <w:rStyle w:val="9"/>
          <w:rFonts w:hint="eastAsia" w:ascii="方正楷体_GBK" w:hAnsi="方正楷体_GBK" w:eastAsia="方正楷体_GBK" w:cs="方正楷体_GBK"/>
          <w:b w:val="0"/>
          <w:bCs/>
          <w:spacing w:val="15"/>
          <w:kern w:val="0"/>
          <w:szCs w:val="32"/>
          <w:lang w:eastAsia="zh-CN" w:bidi="ar"/>
        </w:rPr>
        <w:t>各乡镇人民政府、陇川农场社区管委会</w:t>
      </w:r>
      <w:r>
        <w:rPr>
          <w:rStyle w:val="9"/>
          <w:rFonts w:hint="eastAsia" w:ascii="方正楷体_GBK" w:hAnsi="方正楷体_GBK" w:eastAsia="方正楷体_GBK" w:cs="方正楷体_GBK"/>
          <w:b w:val="0"/>
          <w:bCs/>
          <w:spacing w:val="15"/>
          <w:kern w:val="0"/>
          <w:szCs w:val="32"/>
          <w:lang w:bidi="ar"/>
        </w:rPr>
        <w:t>）</w:t>
      </w:r>
    </w:p>
    <w:p>
      <w:pPr>
        <w:keepNext w:val="0"/>
        <w:keepLines w:val="0"/>
        <w:pageBreakBefore w:val="0"/>
        <w:widowControl/>
        <w:kinsoku/>
        <w:overflowPunct/>
        <w:autoSpaceDE/>
        <w:autoSpaceDN/>
        <w:bidi w:val="0"/>
        <w:adjustRightInd/>
        <w:snapToGrid w:val="0"/>
        <w:spacing w:line="560" w:lineRule="exact"/>
        <w:ind w:firstLine="700"/>
        <w:textAlignment w:val="auto"/>
        <w:rPr>
          <w:rStyle w:val="9"/>
          <w:rFonts w:ascii="方正仿宋_GBK" w:hAnsi="方正仿宋_GBK" w:cs="方正仿宋_GBK"/>
          <w:b w:val="0"/>
          <w:bCs/>
          <w:spacing w:val="15"/>
          <w:kern w:val="0"/>
          <w:szCs w:val="32"/>
          <w:lang w:bidi="ar"/>
        </w:rPr>
      </w:pPr>
      <w:r>
        <w:rPr>
          <w:rStyle w:val="9"/>
          <w:rFonts w:hint="eastAsia" w:ascii="方正楷体_GBK" w:hAnsi="方正楷体_GBK" w:eastAsia="方正楷体_GBK" w:cs="方正楷体_GBK"/>
          <w:b w:val="0"/>
          <w:bCs/>
          <w:spacing w:val="15"/>
          <w:kern w:val="0"/>
          <w:szCs w:val="32"/>
          <w:lang w:bidi="ar"/>
        </w:rPr>
        <w:t>（二）提高获取经营场所便利度。</w:t>
      </w:r>
      <w:r>
        <w:rPr>
          <w:rFonts w:cs="Times New Roman"/>
          <w:spacing w:val="15"/>
          <w:kern w:val="0"/>
          <w:szCs w:val="32"/>
          <w:lang w:bidi="ar"/>
        </w:rPr>
        <w:t>优化全流程办事指引，出具完整的报建指南。提高窗口工作人员业务水准，进一步优化办理建筑许可手续。持续推进投资审批方式改革，简化特定政府投资项目审批管理，提升政府投资项目审批效率。建立健全工程建设项目网上审批相关管理制度，实现工程建设项目网上全过程审批。根据省级修订的《云南省企业投资项目核准和备案实施办法》，贯彻落实调整企业投资项目备案权限、细化核准变更和调整标准，为企业依法依规自主决策创造更加宽松的政策环境。贯彻落实省推进有效投资重要项目协调机制。及时将已批复实施并入库的国土空间规划、控制性详细规划、村庄规划等国土空间规划数据推送到省“多规合一”业务协同平台，完善空间规划“一张蓝图”。加强项目竣工联合验收与不动产登记衔接，持续推进“交房即交证”。积极引导开发企业在取得《商品房预售许可证》后，通过“云南省互联网+不动产登记平台”，向属地不动产登记机构提出“交房即交证”业务申请。将工程建设项目首次不动产登记并入综合竣工验收，实现综合竣工验收合格通知书和不动产权证同步发放。持续扩展“互联网</w:t>
      </w:r>
      <w:r>
        <w:rPr>
          <w:rFonts w:hint="eastAsia" w:cs="Times New Roman"/>
          <w:spacing w:val="15"/>
          <w:kern w:val="0"/>
          <w:szCs w:val="32"/>
          <w:lang w:bidi="ar"/>
        </w:rPr>
        <w:t>+</w:t>
      </w:r>
      <w:r>
        <w:rPr>
          <w:rFonts w:cs="Times New Roman"/>
          <w:spacing w:val="15"/>
          <w:kern w:val="0"/>
          <w:szCs w:val="32"/>
          <w:lang w:bidi="ar"/>
        </w:rPr>
        <w:t>不动产登记”服务范围，推动水电气过户与不动产登记“一件事一次办”。拓展不动产电子证照应用，进一步提升登记规范化便利化水平。探索推进简化不动产非公证继承手续，依托省级政务服务平台和云南省互联网+不动产登记平台，积极引导企业和群众申请办理不动产登记，向企业和群众提供优质高效的涉企不动产登记、二手房与水电气联动过户“一件事一次办”。</w:t>
      </w:r>
      <w:r>
        <w:rPr>
          <w:rStyle w:val="9"/>
          <w:rFonts w:hint="eastAsia" w:ascii="方正楷体_GBK" w:hAnsi="方正楷体_GBK" w:eastAsia="方正楷体_GBK" w:cs="方正楷体_GBK"/>
          <w:b w:val="0"/>
          <w:bCs/>
          <w:spacing w:val="15"/>
          <w:kern w:val="0"/>
          <w:szCs w:val="32"/>
          <w:lang w:bidi="ar"/>
        </w:rPr>
        <w:t>（牵头单位：</w:t>
      </w:r>
      <w:r>
        <w:rPr>
          <w:rStyle w:val="9"/>
          <w:rFonts w:hint="eastAsia" w:ascii="方正楷体_GBK" w:hAnsi="方正楷体_GBK" w:eastAsia="方正楷体_GBK" w:cs="方正楷体_GBK"/>
          <w:b w:val="0"/>
          <w:bCs/>
          <w:spacing w:val="15"/>
          <w:kern w:val="0"/>
          <w:szCs w:val="32"/>
          <w:lang w:eastAsia="zh-CN" w:bidi="ar"/>
        </w:rPr>
        <w:t>县住房和城乡建设局</w:t>
      </w:r>
      <w:r>
        <w:rPr>
          <w:rStyle w:val="9"/>
          <w:rFonts w:hint="eastAsia" w:ascii="方正楷体_GBK" w:hAnsi="方正楷体_GBK" w:eastAsia="方正楷体_GBK" w:cs="方正楷体_GBK"/>
          <w:b w:val="0"/>
          <w:bCs/>
          <w:spacing w:val="15"/>
          <w:kern w:val="0"/>
          <w:szCs w:val="32"/>
          <w:lang w:bidi="ar"/>
        </w:rPr>
        <w:t>、县自然资源局、县发展</w:t>
      </w:r>
      <w:r>
        <w:rPr>
          <w:rFonts w:hint="eastAsia" w:ascii="方正楷体_GBK" w:hAnsi="方正楷体_GBK" w:eastAsia="方正楷体_GBK" w:cs="方正楷体_GBK"/>
          <w:b w:val="0"/>
          <w:bCs/>
          <w:spacing w:val="15"/>
          <w:kern w:val="0"/>
          <w:szCs w:val="32"/>
          <w:lang w:bidi="ar"/>
        </w:rPr>
        <w:t>和</w:t>
      </w:r>
      <w:r>
        <w:rPr>
          <w:rStyle w:val="9"/>
          <w:rFonts w:hint="eastAsia" w:ascii="方正楷体_GBK" w:hAnsi="方正楷体_GBK" w:eastAsia="方正楷体_GBK" w:cs="方正楷体_GBK"/>
          <w:b w:val="0"/>
          <w:bCs/>
          <w:spacing w:val="15"/>
          <w:kern w:val="0"/>
          <w:szCs w:val="32"/>
          <w:lang w:bidi="ar"/>
        </w:rPr>
        <w:t>改革局；责任单位：县直有关单位，</w:t>
      </w:r>
      <w:r>
        <w:rPr>
          <w:rStyle w:val="9"/>
          <w:rFonts w:hint="eastAsia" w:ascii="方正楷体_GBK" w:hAnsi="方正楷体_GBK" w:eastAsia="方正楷体_GBK" w:cs="方正楷体_GBK"/>
          <w:b w:val="0"/>
          <w:bCs/>
          <w:spacing w:val="15"/>
          <w:kern w:val="0"/>
          <w:szCs w:val="32"/>
          <w:lang w:eastAsia="zh-CN" w:bidi="ar"/>
        </w:rPr>
        <w:t>各乡镇人民政府、陇川农场社区管委会</w:t>
      </w:r>
      <w:r>
        <w:rPr>
          <w:rStyle w:val="9"/>
          <w:rFonts w:hint="eastAsia" w:ascii="方正楷体_GBK" w:hAnsi="方正楷体_GBK" w:eastAsia="方正楷体_GBK" w:cs="方正楷体_GBK"/>
          <w:b w:val="0"/>
          <w:bCs/>
          <w:spacing w:val="15"/>
          <w:kern w:val="0"/>
          <w:szCs w:val="32"/>
          <w:lang w:bidi="ar"/>
        </w:rPr>
        <w:t xml:space="preserve">）  </w:t>
      </w:r>
    </w:p>
    <w:p>
      <w:pPr>
        <w:keepNext w:val="0"/>
        <w:keepLines w:val="0"/>
        <w:pageBreakBefore w:val="0"/>
        <w:widowControl/>
        <w:kinsoku/>
        <w:overflowPunct/>
        <w:autoSpaceDE/>
        <w:autoSpaceDN/>
        <w:bidi w:val="0"/>
        <w:adjustRightInd/>
        <w:snapToGrid w:val="0"/>
        <w:spacing w:line="560" w:lineRule="exact"/>
        <w:ind w:firstLine="700"/>
        <w:textAlignment w:val="auto"/>
        <w:rPr>
          <w:rStyle w:val="9"/>
          <w:rFonts w:cs="Times New Roman"/>
          <w:b w:val="0"/>
          <w:bCs/>
          <w:spacing w:val="15"/>
          <w:kern w:val="0"/>
          <w:szCs w:val="32"/>
          <w:lang w:bidi="ar"/>
        </w:rPr>
      </w:pPr>
      <w:r>
        <w:rPr>
          <w:rStyle w:val="9"/>
          <w:rFonts w:hint="eastAsia" w:ascii="方正楷体_GBK" w:hAnsi="方正楷体_GBK" w:eastAsia="方正楷体_GBK" w:cs="方正楷体_GBK"/>
          <w:b w:val="0"/>
          <w:bCs/>
          <w:spacing w:val="15"/>
          <w:kern w:val="0"/>
          <w:szCs w:val="32"/>
          <w:lang w:bidi="ar"/>
        </w:rPr>
        <w:t>（三）优化水电气网联合报装。</w:t>
      </w:r>
      <w:r>
        <w:rPr>
          <w:rFonts w:cs="Times New Roman"/>
          <w:spacing w:val="15"/>
          <w:kern w:val="0"/>
          <w:szCs w:val="32"/>
          <w:lang w:bidi="ar"/>
        </w:rPr>
        <w:t>推进“联合报装”机制，完善报装业务系统，无产权证用户物业权属证明网上办理，全面实施建设项目水电气网联合报装“一件事一次办”，工程建设项目用水、用气、用电、用网报装不超过3个环节，公布材料清单和收费项目清单。加快电子证照、电子印章等在市政公用设施报装中的应用。拓展网上报装渠道，报装工作通过微信公众号、手机APP或工程建设项目审批管理系统进行申请，材料一次性上传，“零跑腿”办理。推行一般外线开挖工程告知承诺制审批，对工程量较小、不涉及涉路施工许可及城市道路和绿化带开挖面不大、恢复较为方便的外线接入工程推行告知承诺制审批。外线施工涉及的工程规划许可、绿化许可、路政许可、占掘路许可、物料堆放许可等审批，由供水、供电、供气、供网企业（单位）直接申请或代建设单位申报，相关审批部门依托工程建设项目审批管理系统并联审批，审批时限压缩到5个工作日。定期公布市政公用基础设施供应质量、可靠性和可持续性等关键指标数据。</w:t>
      </w:r>
      <w:r>
        <w:rPr>
          <w:rStyle w:val="9"/>
          <w:rFonts w:hint="eastAsia" w:ascii="方正楷体_GBK" w:hAnsi="方正楷体_GBK" w:eastAsia="方正楷体_GBK" w:cs="方正楷体_GBK"/>
          <w:b w:val="0"/>
          <w:bCs/>
          <w:spacing w:val="15"/>
          <w:kern w:val="0"/>
          <w:szCs w:val="32"/>
          <w:lang w:bidi="ar"/>
        </w:rPr>
        <w:t>（牵头单位：</w:t>
      </w:r>
      <w:r>
        <w:rPr>
          <w:rStyle w:val="9"/>
          <w:rFonts w:hint="eastAsia" w:ascii="方正楷体_GBK" w:hAnsi="方正楷体_GBK" w:eastAsia="方正楷体_GBK" w:cs="方正楷体_GBK"/>
          <w:b w:val="0"/>
          <w:bCs/>
          <w:spacing w:val="15"/>
          <w:kern w:val="0"/>
          <w:szCs w:val="32"/>
          <w:lang w:eastAsia="zh-CN" w:bidi="ar"/>
        </w:rPr>
        <w:t>县住房和城乡建设局</w:t>
      </w:r>
      <w:r>
        <w:rPr>
          <w:rStyle w:val="9"/>
          <w:rFonts w:hint="eastAsia" w:ascii="方正楷体_GBK" w:hAnsi="方正楷体_GBK" w:eastAsia="方正楷体_GBK" w:cs="方正楷体_GBK"/>
          <w:b w:val="0"/>
          <w:bCs/>
          <w:spacing w:val="15"/>
          <w:kern w:val="0"/>
          <w:szCs w:val="32"/>
          <w:lang w:bidi="ar"/>
        </w:rPr>
        <w:t>；责任单位：县公安局、县自然资源局、县交通运输局、中国电信陇川分公司、中国联通陇川分公司、中国铁塔陇川分公司、中国广电陇川分公司、陇川供电局等有关单位，</w:t>
      </w:r>
      <w:r>
        <w:rPr>
          <w:rStyle w:val="9"/>
          <w:rFonts w:hint="eastAsia" w:ascii="方正楷体_GBK" w:hAnsi="方正楷体_GBK" w:eastAsia="方正楷体_GBK" w:cs="方正楷体_GBK"/>
          <w:b w:val="0"/>
          <w:bCs/>
          <w:spacing w:val="15"/>
          <w:kern w:val="0"/>
          <w:szCs w:val="32"/>
          <w:lang w:eastAsia="zh-CN" w:bidi="ar"/>
        </w:rPr>
        <w:t>各乡镇人民政府、陇川农场社区管委会</w:t>
      </w:r>
      <w:r>
        <w:rPr>
          <w:rStyle w:val="9"/>
          <w:rFonts w:hint="eastAsia" w:ascii="方正楷体_GBK" w:hAnsi="方正楷体_GBK" w:eastAsia="方正楷体_GBK" w:cs="方正楷体_GBK"/>
          <w:b w:val="0"/>
          <w:bCs/>
          <w:spacing w:val="15"/>
          <w:kern w:val="0"/>
          <w:szCs w:val="32"/>
          <w:lang w:bidi="ar"/>
        </w:rPr>
        <w:t>）</w:t>
      </w:r>
    </w:p>
    <w:p>
      <w:pPr>
        <w:keepNext w:val="0"/>
        <w:keepLines w:val="0"/>
        <w:pageBreakBefore w:val="0"/>
        <w:widowControl/>
        <w:kinsoku/>
        <w:wordWrap w:val="0"/>
        <w:overflowPunct/>
        <w:topLinePunct/>
        <w:autoSpaceDE/>
        <w:autoSpaceDN/>
        <w:bidi w:val="0"/>
        <w:adjustRightInd/>
        <w:snapToGrid w:val="0"/>
        <w:spacing w:line="560" w:lineRule="exact"/>
        <w:ind w:firstLine="700"/>
        <w:textAlignment w:val="auto"/>
        <w:rPr>
          <w:rStyle w:val="9"/>
          <w:rFonts w:cs="Times New Roman"/>
          <w:b w:val="0"/>
          <w:bCs/>
          <w:spacing w:val="15"/>
          <w:kern w:val="0"/>
          <w:szCs w:val="32"/>
          <w:lang w:bidi="ar"/>
        </w:rPr>
      </w:pPr>
      <w:r>
        <w:rPr>
          <w:rStyle w:val="9"/>
          <w:rFonts w:hint="eastAsia" w:ascii="方正楷体_GBK" w:hAnsi="方正楷体_GBK" w:eastAsia="方正楷体_GBK" w:cs="方正楷体_GBK"/>
          <w:b w:val="0"/>
          <w:bCs/>
          <w:spacing w:val="15"/>
          <w:kern w:val="0"/>
          <w:szCs w:val="32"/>
          <w:lang w:bidi="ar"/>
        </w:rPr>
        <w:t>（四）促进劳动就业。</w:t>
      </w:r>
      <w:r>
        <w:rPr>
          <w:rFonts w:cs="Times New Roman"/>
          <w:spacing w:val="15"/>
          <w:kern w:val="0"/>
          <w:szCs w:val="32"/>
          <w:lang w:bidi="ar"/>
        </w:rPr>
        <w:t>贯彻落实终身职业技能培训制度，规范组织实施职业培训，强化培训后服务工作，不断提升职业技能培训质效。完善劳动关系协商协调机制，健全劳动者权益保障制度，妥善处理劳动人事争议，健全劳动人事争议调解与人民调解、行政调解、司法调解联动工作体系。强化人力资源社会保障、司法行政、法院、工会、企业代表组织等的工作沟通，形成矛盾联调、力量联动、信息联通的工作格局。开展新就业形态劳动者劳动权益保障专项行动，加大行业规范用工的政策指导力度，全面落实各项积极就业政策，助力新就业形态劳动者实现稳定就业。持续加强劳动保障监察执法力度，深入推进“小切口”整治民生领域突出问题“惠民行动”，在全</w:t>
      </w:r>
      <w:r>
        <w:rPr>
          <w:rFonts w:hint="eastAsia" w:cs="Times New Roman"/>
          <w:spacing w:val="15"/>
          <w:kern w:val="0"/>
          <w:szCs w:val="32"/>
          <w:lang w:bidi="ar"/>
        </w:rPr>
        <w:t>县</w:t>
      </w:r>
      <w:r>
        <w:rPr>
          <w:rFonts w:cs="Times New Roman"/>
          <w:spacing w:val="15"/>
          <w:kern w:val="0"/>
          <w:szCs w:val="32"/>
          <w:lang w:bidi="ar"/>
        </w:rPr>
        <w:t>范围内开展拖欠农民工工资问题专项整治“安薪行动”。</w:t>
      </w:r>
      <w:r>
        <w:rPr>
          <w:rStyle w:val="9"/>
          <w:rFonts w:hint="eastAsia" w:ascii="方正楷体_GBK" w:hAnsi="方正楷体_GBK" w:eastAsia="方正楷体_GBK" w:cs="方正楷体_GBK"/>
          <w:b w:val="0"/>
          <w:bCs/>
          <w:spacing w:val="15"/>
          <w:kern w:val="0"/>
          <w:szCs w:val="32"/>
          <w:lang w:bidi="ar"/>
        </w:rPr>
        <w:t>（牵头单位：县人力资源和社会保障局；责任单位：县直有关单位，</w:t>
      </w:r>
      <w:r>
        <w:rPr>
          <w:rStyle w:val="9"/>
          <w:rFonts w:hint="eastAsia" w:ascii="方正楷体_GBK" w:hAnsi="方正楷体_GBK" w:eastAsia="方正楷体_GBK" w:cs="方正楷体_GBK"/>
          <w:b w:val="0"/>
          <w:bCs/>
          <w:spacing w:val="15"/>
          <w:kern w:val="0"/>
          <w:szCs w:val="32"/>
          <w:lang w:eastAsia="zh-CN" w:bidi="ar"/>
        </w:rPr>
        <w:t>各乡镇人民政府、陇川农场社区管委会</w:t>
      </w:r>
      <w:r>
        <w:rPr>
          <w:rStyle w:val="9"/>
          <w:rFonts w:hint="eastAsia" w:ascii="方正楷体_GBK" w:hAnsi="方正楷体_GBK" w:eastAsia="方正楷体_GBK" w:cs="方正楷体_GBK"/>
          <w:b w:val="0"/>
          <w:bCs/>
          <w:spacing w:val="15"/>
          <w:kern w:val="0"/>
          <w:szCs w:val="32"/>
          <w:lang w:bidi="ar"/>
        </w:rPr>
        <w:t>）</w:t>
      </w:r>
    </w:p>
    <w:p>
      <w:pPr>
        <w:keepNext w:val="0"/>
        <w:keepLines w:val="0"/>
        <w:pageBreakBefore w:val="0"/>
        <w:widowControl/>
        <w:kinsoku/>
        <w:overflowPunct/>
        <w:autoSpaceDE/>
        <w:autoSpaceDN/>
        <w:bidi w:val="0"/>
        <w:adjustRightInd/>
        <w:snapToGrid w:val="0"/>
        <w:spacing w:line="560" w:lineRule="exact"/>
        <w:ind w:firstLine="700"/>
        <w:textAlignment w:val="auto"/>
        <w:rPr>
          <w:rStyle w:val="9"/>
          <w:rFonts w:cs="Times New Roman"/>
          <w:b w:val="0"/>
          <w:bCs/>
          <w:spacing w:val="15"/>
          <w:kern w:val="0"/>
          <w:szCs w:val="32"/>
          <w:lang w:bidi="ar"/>
        </w:rPr>
      </w:pPr>
      <w:r>
        <w:rPr>
          <w:rStyle w:val="9"/>
          <w:rFonts w:hint="eastAsia" w:ascii="方正楷体_GBK" w:hAnsi="方正楷体_GBK" w:eastAsia="方正楷体_GBK" w:cs="方正楷体_GBK"/>
          <w:b w:val="0"/>
          <w:bCs/>
          <w:spacing w:val="15"/>
          <w:kern w:val="0"/>
          <w:szCs w:val="32"/>
          <w:lang w:bidi="ar"/>
        </w:rPr>
        <w:t>（五）提升获得信贷质效。</w:t>
      </w:r>
      <w:r>
        <w:rPr>
          <w:rFonts w:cs="Times New Roman"/>
          <w:spacing w:val="15"/>
          <w:kern w:val="0"/>
          <w:szCs w:val="32"/>
          <w:lang w:bidi="ar"/>
        </w:rPr>
        <w:t>鼓励建立政府性融资担保机构，充分发挥政府性融资担保机构作用，将更多金融资源投向小微企业和“三农”。加大政府性融资担保支持力度，促进融资担保体系建设。通过融资担保业务担保费补贴的方式，鼓励和引导政府性融资担保机构降低担保费。积极引进相应专业评估、担保机构，支持商业银行、担保机构和评估机构合作。优化知识产权金融服务，健全政府引导的知识产权质押融资风险分担和补偿机制，综合运用担保风险补偿等方式降低信贷风险，鼓励银行保险机构开展知识产权质押融资工作。支持银行业金融机构运用金融科技提高规范化管理和制度建设水平，推动尽职免责、转移定价、绩效考核等内部管理机制落实落地。加大中征应收账款融资服务平台的宣传推广力度，发展供应链融资，应收账款融资规模稳定提升。推进动产融资和权利担保统一登记公示系统推广应用，发展应收账款、碳排放权配额、林业碳汇、用能权、排污权、订单仓单提单、存货、活体畜禽等动产和权利担保品抵质押融资。积极发挥云南省征信融资服务平台作用，加强涉企信用信息共享，提升金融服务效率。以“银税互动”为抓手推动小微金融服务提质增效，深化“银税互动”信用信息共享，加强精准对接。积极搭建政银企平台，持续强化工商联与银行、担保公司等金融机构的沟通交流，分别组织政银企对接会，探索开展强化金融机构与不同行业领域的民营小微企业沟通联系，提升金融机构推介金融服务产品的针对性，并通过听取企业的需求及意见建议，不断优化完善服务企业的金融产品，增加涉企授信额度。丰富普惠型小微企业信贷产品，探索推广“银税互动”、“随借随还”等线上信贷产品，提升小微企业融资便利度。通过调整信贷额度、调整绩效考核、实施优惠定价等方式，加强“首贷户”拓展和信用贷款投放，在有效落实风险管控的前提下积极满足融资需求。充分应用省级首贷贷款贴息补助政策，组织辖区内符合条件的企业申报，缓解企业融资难，减轻企业负担。</w:t>
      </w:r>
      <w:r>
        <w:rPr>
          <w:rStyle w:val="9"/>
          <w:rFonts w:hint="eastAsia" w:ascii="方正楷体_GBK" w:hAnsi="方正楷体_GBK" w:eastAsia="方正楷体_GBK" w:cs="方正楷体_GBK"/>
          <w:b w:val="0"/>
          <w:bCs/>
          <w:spacing w:val="15"/>
          <w:kern w:val="0"/>
          <w:szCs w:val="32"/>
          <w:lang w:bidi="ar"/>
        </w:rPr>
        <w:t>（牵头单位：县财政局〔县金融办、县国资委〕、人行陇川县支行；责任单位：</w:t>
      </w:r>
      <w:r>
        <w:rPr>
          <w:rStyle w:val="9"/>
          <w:rFonts w:hint="eastAsia" w:ascii="方正楷体_GBK" w:hAnsi="方正楷体_GBK" w:eastAsia="方正楷体_GBK" w:cs="方正楷体_GBK"/>
          <w:b w:val="0"/>
          <w:bCs/>
          <w:spacing w:val="15"/>
          <w:kern w:val="0"/>
          <w:szCs w:val="32"/>
          <w:lang w:eastAsia="zh-CN" w:bidi="ar"/>
        </w:rPr>
        <w:t>县市场监督管理局</w:t>
      </w:r>
      <w:r>
        <w:rPr>
          <w:rStyle w:val="9"/>
          <w:rFonts w:hint="eastAsia" w:ascii="方正楷体_GBK" w:hAnsi="方正楷体_GBK" w:eastAsia="方正楷体_GBK" w:cs="方正楷体_GBK"/>
          <w:b w:val="0"/>
          <w:bCs/>
          <w:spacing w:val="15"/>
          <w:kern w:val="0"/>
          <w:szCs w:val="32"/>
          <w:lang w:bidi="ar"/>
        </w:rPr>
        <w:t>、县发展和改革局、县工业和商务科技局、县工商联等有关单位，</w:t>
      </w:r>
      <w:r>
        <w:rPr>
          <w:rStyle w:val="9"/>
          <w:rFonts w:hint="eastAsia" w:ascii="方正楷体_GBK" w:hAnsi="方正楷体_GBK" w:eastAsia="方正楷体_GBK" w:cs="方正楷体_GBK"/>
          <w:b w:val="0"/>
          <w:bCs/>
          <w:spacing w:val="15"/>
          <w:kern w:val="0"/>
          <w:szCs w:val="32"/>
          <w:lang w:eastAsia="zh-CN" w:bidi="ar"/>
        </w:rPr>
        <w:t>各乡镇人民政府、陇川农场社区管委会</w:t>
      </w:r>
      <w:r>
        <w:rPr>
          <w:rStyle w:val="9"/>
          <w:rFonts w:hint="eastAsia" w:ascii="方正楷体_GBK" w:hAnsi="方正楷体_GBK" w:eastAsia="方正楷体_GBK" w:cs="方正楷体_GBK"/>
          <w:b w:val="0"/>
          <w:bCs/>
          <w:spacing w:val="15"/>
          <w:kern w:val="0"/>
          <w:szCs w:val="32"/>
          <w:lang w:bidi="ar"/>
        </w:rPr>
        <w:t>）</w:t>
      </w:r>
    </w:p>
    <w:p>
      <w:pPr>
        <w:keepNext w:val="0"/>
        <w:keepLines w:val="0"/>
        <w:pageBreakBefore w:val="0"/>
        <w:widowControl/>
        <w:kinsoku/>
        <w:overflowPunct/>
        <w:autoSpaceDE/>
        <w:autoSpaceDN/>
        <w:bidi w:val="0"/>
        <w:adjustRightInd/>
        <w:snapToGrid w:val="0"/>
        <w:spacing w:line="560" w:lineRule="exact"/>
        <w:ind w:firstLine="700"/>
        <w:textAlignment w:val="auto"/>
        <w:rPr>
          <w:rStyle w:val="9"/>
          <w:rFonts w:hint="eastAsia" w:ascii="方正楷体_GBK" w:hAnsi="方正楷体_GBK" w:eastAsia="方正楷体_GBK" w:cs="方正楷体_GBK"/>
          <w:b w:val="0"/>
          <w:bCs/>
          <w:spacing w:val="15"/>
          <w:kern w:val="0"/>
          <w:szCs w:val="32"/>
          <w:lang w:bidi="ar"/>
        </w:rPr>
      </w:pPr>
      <w:r>
        <w:rPr>
          <w:rStyle w:val="9"/>
          <w:rFonts w:hint="eastAsia" w:ascii="方正楷体_GBK" w:hAnsi="方正楷体_GBK" w:eastAsia="方正楷体_GBK" w:cs="方正楷体_GBK"/>
          <w:b w:val="0"/>
          <w:bCs/>
          <w:spacing w:val="15"/>
          <w:kern w:val="0"/>
          <w:szCs w:val="32"/>
          <w:lang w:bidi="ar"/>
        </w:rPr>
        <w:t>（六）提升纳税便利度。</w:t>
      </w:r>
      <w:r>
        <w:rPr>
          <w:rFonts w:cs="Times New Roman"/>
          <w:spacing w:val="15"/>
          <w:kern w:val="0"/>
          <w:szCs w:val="32"/>
          <w:lang w:bidi="ar"/>
        </w:rPr>
        <w:t>持续深入实施财产和行为税10税种合并申报，积极配合优化电子税务局印花税申报，探索实现“一键零申报”。探索推进动态“信用+风险”税务监控，简化无风险和低风险企业的涉税业务办理流程，利用税收大数据加强纳税人需求分析，提供精细化服务。进一步推动主要涉税服务事项实现智能化、便利化网上办理。依法依规共享企业年度报告有关信息，实现企业年度报告“多报合一”。加快推动税费优惠政策直达快享，积极抓好2023年延续和优化实施的各项税费优惠政策落地落实，持续释放政策红利。</w:t>
      </w:r>
      <w:r>
        <w:rPr>
          <w:rStyle w:val="9"/>
          <w:rFonts w:hint="eastAsia" w:ascii="方正楷体_GBK" w:hAnsi="方正楷体_GBK" w:eastAsia="方正楷体_GBK" w:cs="方正楷体_GBK"/>
          <w:b w:val="0"/>
          <w:bCs/>
          <w:spacing w:val="15"/>
          <w:kern w:val="0"/>
          <w:szCs w:val="32"/>
          <w:lang w:bidi="ar"/>
        </w:rPr>
        <w:t>（牵头单位：</w:t>
      </w:r>
      <w:r>
        <w:rPr>
          <w:rStyle w:val="9"/>
          <w:rFonts w:hint="eastAsia" w:ascii="方正楷体_GBK" w:hAnsi="方正楷体_GBK" w:eastAsia="方正楷体_GBK" w:cs="方正楷体_GBK"/>
          <w:b w:val="0"/>
          <w:bCs/>
          <w:spacing w:val="15"/>
          <w:kern w:val="0"/>
          <w:szCs w:val="32"/>
          <w:lang w:eastAsia="zh-CN" w:bidi="ar"/>
        </w:rPr>
        <w:t>县</w:t>
      </w:r>
      <w:r>
        <w:rPr>
          <w:rStyle w:val="9"/>
          <w:rFonts w:hint="eastAsia" w:ascii="方正楷体_GBK" w:hAnsi="方正楷体_GBK" w:eastAsia="方正楷体_GBK" w:cs="方正楷体_GBK"/>
          <w:b w:val="0"/>
          <w:bCs/>
          <w:spacing w:val="15"/>
          <w:kern w:val="0"/>
          <w:szCs w:val="32"/>
          <w:lang w:bidi="ar"/>
        </w:rPr>
        <w:t>税务局；责任单位：</w:t>
      </w:r>
      <w:r>
        <w:rPr>
          <w:rStyle w:val="9"/>
          <w:rFonts w:hint="eastAsia" w:ascii="方正楷体_GBK" w:hAnsi="方正楷体_GBK" w:eastAsia="方正楷体_GBK" w:cs="方正楷体_GBK"/>
          <w:b w:val="0"/>
          <w:bCs/>
          <w:spacing w:val="15"/>
          <w:kern w:val="0"/>
          <w:szCs w:val="32"/>
          <w:lang w:eastAsia="zh-CN" w:bidi="ar"/>
        </w:rPr>
        <w:t>县市场监督管理局</w:t>
      </w:r>
      <w:r>
        <w:rPr>
          <w:rStyle w:val="9"/>
          <w:rFonts w:hint="eastAsia" w:ascii="方正楷体_GBK" w:hAnsi="方正楷体_GBK" w:eastAsia="方正楷体_GBK" w:cs="方正楷体_GBK"/>
          <w:b w:val="0"/>
          <w:bCs/>
          <w:spacing w:val="15"/>
          <w:kern w:val="0"/>
          <w:szCs w:val="32"/>
          <w:lang w:bidi="ar"/>
        </w:rPr>
        <w:t>、县人力资源和社会保障局、县自然资源局等有关单位，</w:t>
      </w:r>
      <w:r>
        <w:rPr>
          <w:rStyle w:val="9"/>
          <w:rFonts w:hint="eastAsia" w:ascii="方正楷体_GBK" w:hAnsi="方正楷体_GBK" w:eastAsia="方正楷体_GBK" w:cs="方正楷体_GBK"/>
          <w:b w:val="0"/>
          <w:bCs/>
          <w:spacing w:val="15"/>
          <w:kern w:val="0"/>
          <w:szCs w:val="32"/>
          <w:lang w:eastAsia="zh-CN" w:bidi="ar"/>
        </w:rPr>
        <w:t>各乡镇人民政府、陇川农场社区管委会</w:t>
      </w:r>
      <w:r>
        <w:rPr>
          <w:rStyle w:val="9"/>
          <w:rFonts w:hint="eastAsia" w:ascii="方正楷体_GBK" w:hAnsi="方正楷体_GBK" w:eastAsia="方正楷体_GBK" w:cs="方正楷体_GBK"/>
          <w:b w:val="0"/>
          <w:bCs/>
          <w:spacing w:val="15"/>
          <w:kern w:val="0"/>
          <w:szCs w:val="32"/>
          <w:lang w:bidi="ar"/>
        </w:rPr>
        <w:t>）</w:t>
      </w:r>
    </w:p>
    <w:p>
      <w:pPr>
        <w:keepNext w:val="0"/>
        <w:keepLines w:val="0"/>
        <w:pageBreakBefore w:val="0"/>
        <w:widowControl/>
        <w:kinsoku/>
        <w:overflowPunct/>
        <w:autoSpaceDE/>
        <w:autoSpaceDN/>
        <w:bidi w:val="0"/>
        <w:adjustRightInd/>
        <w:snapToGrid w:val="0"/>
        <w:spacing w:line="560" w:lineRule="exact"/>
        <w:ind w:firstLine="700"/>
        <w:textAlignment w:val="auto"/>
        <w:rPr>
          <w:rStyle w:val="9"/>
          <w:rFonts w:cs="Times New Roman"/>
          <w:b w:val="0"/>
          <w:bCs/>
          <w:spacing w:val="15"/>
          <w:kern w:val="0"/>
          <w:szCs w:val="32"/>
          <w:lang w:bidi="ar"/>
        </w:rPr>
      </w:pPr>
      <w:r>
        <w:rPr>
          <w:rStyle w:val="9"/>
          <w:rFonts w:hint="eastAsia" w:ascii="方正楷体_GBK" w:hAnsi="方正楷体_GBK" w:eastAsia="方正楷体_GBK" w:cs="方正楷体_GBK"/>
          <w:b w:val="0"/>
          <w:bCs/>
          <w:spacing w:val="15"/>
          <w:kern w:val="0"/>
          <w:szCs w:val="32"/>
          <w:lang w:bidi="ar"/>
        </w:rPr>
        <w:t>（七）解决商业纠纷。</w:t>
      </w:r>
      <w:r>
        <w:rPr>
          <w:rFonts w:cs="Times New Roman"/>
          <w:spacing w:val="15"/>
          <w:kern w:val="0"/>
          <w:szCs w:val="32"/>
          <w:lang w:bidi="ar"/>
        </w:rPr>
        <w:t>推进“智慧法院”建设，健全完善诉讼服务机制，开设民营企业绿色通道，提高民商事案件送达效率，探索建立市场主体诉讼文书送达地址确认机制。涉企合同案件电子送达率高于70%（使用电子送达的案件/受理案件数），对涉企业案件，实行“快立、快审、快结”。提高涉企案件审判效率，加大涉企生效裁判执行力度，提升审判执行质效。严控案件流转时间节点，加大案件繁简分流识别精准度，缩短案件审理平均周期。充分发挥诉前多元解纷作用，减少案件增量。指导基层法院加强部门调解、行业调解、商会调解与诉讼程序相互衔接、相互联动，构建“一条龙”的纠纷解决机制，共同构建涉企纠纷多元化解机制，加快调解成果兑现。保障企业胜诉权利，不断完善网络查控、失信联合惩戒等联动机制，规范运用司法保全、信用惩戒、强制查扣、司法网拍等工作措施，围绕提高实际执行率和执行标的到位率、降低终本率。加大对拒执罪打击力度，强化与公安机关、检察院的工作协同，合理打击有能力履行而拒不履行的行为，持续深入解决执行难问题。强化企业法治意识和契约意识，开展送法进企业和“一对一”帮扶民营企业活动，对民营企业进行普法宣传，引导民营企业诚信经营、守法经营，提高企业人员用法治方式、法治思维化解矛盾，维护自身合法权益。引导全社会增强法治意识和规则意识，落实“谁执法谁普法”“谁管理谁普法”“谁服务谁普法”普法责任制，积极开展普法强基补短板专项行动。开展“乡村振兴 法治同行”活动，法律援助应援尽援。</w:t>
      </w:r>
      <w:r>
        <w:rPr>
          <w:rStyle w:val="9"/>
          <w:rFonts w:hint="eastAsia" w:ascii="方正楷体_GBK" w:hAnsi="方正楷体_GBK" w:eastAsia="方正楷体_GBK" w:cs="方正楷体_GBK"/>
          <w:b w:val="0"/>
          <w:bCs/>
          <w:spacing w:val="15"/>
          <w:kern w:val="0"/>
          <w:szCs w:val="32"/>
          <w:lang w:bidi="ar"/>
        </w:rPr>
        <w:t>（牵头单位：</w:t>
      </w:r>
      <w:r>
        <w:rPr>
          <w:rStyle w:val="9"/>
          <w:rFonts w:hint="eastAsia" w:ascii="方正楷体_GBK" w:hAnsi="方正楷体_GBK" w:eastAsia="方正楷体_GBK" w:cs="方正楷体_GBK"/>
          <w:b w:val="0"/>
          <w:bCs/>
          <w:spacing w:val="15"/>
          <w:kern w:val="0"/>
          <w:szCs w:val="32"/>
          <w:lang w:eastAsia="zh-CN" w:bidi="ar"/>
        </w:rPr>
        <w:t>县人民法院</w:t>
      </w:r>
      <w:r>
        <w:rPr>
          <w:rStyle w:val="9"/>
          <w:rFonts w:hint="eastAsia" w:ascii="方正楷体_GBK" w:hAnsi="方正楷体_GBK" w:eastAsia="方正楷体_GBK" w:cs="方正楷体_GBK"/>
          <w:b w:val="0"/>
          <w:bCs/>
          <w:spacing w:val="15"/>
          <w:kern w:val="0"/>
          <w:szCs w:val="32"/>
          <w:lang w:bidi="ar"/>
        </w:rPr>
        <w:t>、县司法局、县委政法委；责任单位：具有执法权的县直有关单位，</w:t>
      </w:r>
      <w:r>
        <w:rPr>
          <w:rStyle w:val="9"/>
          <w:rFonts w:hint="eastAsia" w:ascii="方正楷体_GBK" w:hAnsi="方正楷体_GBK" w:eastAsia="方正楷体_GBK" w:cs="方正楷体_GBK"/>
          <w:b w:val="0"/>
          <w:bCs/>
          <w:spacing w:val="15"/>
          <w:kern w:val="0"/>
          <w:szCs w:val="32"/>
          <w:lang w:eastAsia="zh-CN" w:bidi="ar"/>
        </w:rPr>
        <w:t>各乡镇人民政府、陇川农场社区管委会</w:t>
      </w:r>
      <w:r>
        <w:rPr>
          <w:rStyle w:val="9"/>
          <w:rFonts w:hint="eastAsia" w:ascii="方正楷体_GBK" w:hAnsi="方正楷体_GBK" w:eastAsia="方正楷体_GBK" w:cs="方正楷体_GBK"/>
          <w:b w:val="0"/>
          <w:bCs/>
          <w:spacing w:val="15"/>
          <w:kern w:val="0"/>
          <w:szCs w:val="32"/>
          <w:lang w:bidi="ar"/>
        </w:rPr>
        <w:t>）</w:t>
      </w:r>
    </w:p>
    <w:p>
      <w:pPr>
        <w:keepNext w:val="0"/>
        <w:keepLines w:val="0"/>
        <w:pageBreakBefore w:val="0"/>
        <w:widowControl/>
        <w:kinsoku/>
        <w:wordWrap w:val="0"/>
        <w:overflowPunct/>
        <w:topLinePunct/>
        <w:autoSpaceDE/>
        <w:autoSpaceDN/>
        <w:bidi w:val="0"/>
        <w:adjustRightInd/>
        <w:snapToGrid w:val="0"/>
        <w:spacing w:line="560" w:lineRule="exact"/>
        <w:ind w:firstLine="700"/>
        <w:textAlignment w:val="auto"/>
        <w:rPr>
          <w:rStyle w:val="9"/>
          <w:rFonts w:cs="Times New Roman"/>
          <w:b w:val="0"/>
          <w:bCs/>
          <w:spacing w:val="15"/>
          <w:kern w:val="0"/>
          <w:szCs w:val="32"/>
          <w:lang w:bidi="ar"/>
        </w:rPr>
      </w:pPr>
      <w:r>
        <w:rPr>
          <w:rStyle w:val="9"/>
          <w:rFonts w:hint="eastAsia" w:ascii="方正楷体_GBK" w:hAnsi="方正楷体_GBK" w:eastAsia="方正楷体_GBK" w:cs="方正楷体_GBK"/>
          <w:b w:val="0"/>
          <w:bCs/>
          <w:spacing w:val="15"/>
          <w:kern w:val="0"/>
          <w:szCs w:val="32"/>
          <w:lang w:bidi="ar"/>
        </w:rPr>
        <w:t>（八）营造公平竞争环境。</w:t>
      </w:r>
      <w:r>
        <w:rPr>
          <w:rFonts w:cs="Times New Roman"/>
          <w:spacing w:val="15"/>
          <w:kern w:val="0"/>
          <w:szCs w:val="32"/>
          <w:lang w:bidi="ar"/>
        </w:rPr>
        <w:t>开展公平竞争审查培训，开展制止滥用行政权力排除、限制竞争执法专项行动，实施招标文件公平竞争审查，全面落实公平竞争审查制度。持续清理政府采购领域隐性门槛，重点清理对不同所有制企业、外地企业设置的各类隐性门槛和不合理限制。清理招标投标领域针对不同所有制企业、外地企业设置的各类隐性门槛和不合理限制，取消企业在资质资格获取、招标投标等方面存在的差别化待遇，清理通过划分企业登记、增设证明事项、设立项目库、注册、认证、认定等非必要条件排除和限制公平竞争的行为。提升政府采购透明度，持续推进采购意向公开，确保采购意向公开率达</w:t>
      </w:r>
      <w:r>
        <w:rPr>
          <w:rFonts w:hint="eastAsia" w:cs="Times New Roman"/>
          <w:spacing w:val="15"/>
          <w:kern w:val="0"/>
          <w:szCs w:val="32"/>
          <w:lang w:bidi="ar"/>
        </w:rPr>
        <w:t>9</w:t>
      </w:r>
      <w:r>
        <w:rPr>
          <w:rFonts w:cs="Times New Roman"/>
          <w:spacing w:val="15"/>
          <w:kern w:val="0"/>
          <w:szCs w:val="32"/>
          <w:lang w:bidi="ar"/>
        </w:rPr>
        <w:t>0%以上。强化政府采购诚信管理，按照统一部署开展政府采购代理机构监督评价，建立政府采购代理机构和评审专家履职评价制度。推广电子证照、电子印章、电子签名、电子档案、电子合同在招标投标领域的运用，招标投标全流程电子化率达到</w:t>
      </w:r>
      <w:r>
        <w:rPr>
          <w:rFonts w:hint="eastAsia" w:cs="Times New Roman"/>
          <w:spacing w:val="15"/>
          <w:kern w:val="0"/>
          <w:szCs w:val="32"/>
          <w:lang w:bidi="ar"/>
        </w:rPr>
        <w:t>100</w:t>
      </w:r>
      <w:r>
        <w:rPr>
          <w:rFonts w:cs="Times New Roman"/>
          <w:spacing w:val="15"/>
          <w:kern w:val="0"/>
          <w:szCs w:val="32"/>
          <w:lang w:bidi="ar"/>
        </w:rPr>
        <w:t>%。在招标投标领域全面推行电子保函（保险）替代现金保证金缴纳投标、履约、工程质量等保证金。落实政府投资项目招投标活动保证金收取在原收取标准基础上降幅不低于50%，严格落实进场的电子化交易项目招标人、代理机构不得向投标人售卖或变相收取纸质招标文件、资格预审文件及图纸费，降低投标成本。建立落实场内管理巡检机制、网格化监管机制、电子化见证等方式，进一步规范招标投标各方主体行为，加强招标投标全覆盖、全链条、全流程监管。严格落实行政事业性收费和政府性基金目录清单制度，依法依规从严控制新设涉企收费项目。建立健全规范行业协会商会收费长效机制。严厉查处强制摊派、征收过头税费、截留减税降费红利等行为。进一步加大支持中小企业发展力度，政府采购工程面向中小企业预留份额阶段性提高至40%以上的政策延续到2023年底。</w:t>
      </w:r>
      <w:r>
        <w:rPr>
          <w:rStyle w:val="9"/>
          <w:rFonts w:hint="eastAsia" w:ascii="方正楷体_GBK" w:hAnsi="方正楷体_GBK" w:eastAsia="方正楷体_GBK" w:cs="方正楷体_GBK"/>
          <w:b w:val="0"/>
          <w:bCs/>
          <w:spacing w:val="15"/>
          <w:kern w:val="0"/>
          <w:szCs w:val="32"/>
          <w:lang w:bidi="ar"/>
        </w:rPr>
        <w:t>（牵头单位：</w:t>
      </w:r>
      <w:r>
        <w:rPr>
          <w:rStyle w:val="9"/>
          <w:rFonts w:hint="eastAsia" w:ascii="方正楷体_GBK" w:hAnsi="方正楷体_GBK" w:eastAsia="方正楷体_GBK" w:cs="方正楷体_GBK"/>
          <w:b w:val="0"/>
          <w:bCs/>
          <w:spacing w:val="15"/>
          <w:kern w:val="0"/>
          <w:szCs w:val="32"/>
          <w:lang w:eastAsia="zh-CN" w:bidi="ar"/>
        </w:rPr>
        <w:t>县市场监督管理局</w:t>
      </w:r>
      <w:r>
        <w:rPr>
          <w:rStyle w:val="9"/>
          <w:rFonts w:hint="eastAsia" w:ascii="方正楷体_GBK" w:hAnsi="方正楷体_GBK" w:eastAsia="方正楷体_GBK" w:cs="方正楷体_GBK"/>
          <w:b w:val="0"/>
          <w:bCs/>
          <w:spacing w:val="15"/>
          <w:kern w:val="0"/>
          <w:szCs w:val="32"/>
          <w:lang w:bidi="ar"/>
        </w:rPr>
        <w:t>、县发展和改革局、县民政局、县财政局、县公共资源交易管理局、县税务局；责任单位：县公共资源交易工作联席会议成员单位等有关单位，</w:t>
      </w:r>
      <w:r>
        <w:rPr>
          <w:rStyle w:val="9"/>
          <w:rFonts w:hint="eastAsia" w:ascii="方正楷体_GBK" w:hAnsi="方正楷体_GBK" w:eastAsia="方正楷体_GBK" w:cs="方正楷体_GBK"/>
          <w:b w:val="0"/>
          <w:bCs/>
          <w:spacing w:val="15"/>
          <w:kern w:val="0"/>
          <w:szCs w:val="32"/>
          <w:lang w:eastAsia="zh-CN" w:bidi="ar"/>
        </w:rPr>
        <w:t>各乡镇人民政府、陇川农场社区管委会</w:t>
      </w:r>
      <w:r>
        <w:rPr>
          <w:rStyle w:val="9"/>
          <w:rFonts w:hint="eastAsia" w:ascii="方正楷体_GBK" w:hAnsi="方正楷体_GBK" w:eastAsia="方正楷体_GBK" w:cs="方正楷体_GBK"/>
          <w:b w:val="0"/>
          <w:bCs/>
          <w:spacing w:val="15"/>
          <w:kern w:val="0"/>
          <w:szCs w:val="32"/>
          <w:lang w:bidi="ar"/>
        </w:rPr>
        <w:t>）</w:t>
      </w:r>
    </w:p>
    <w:p>
      <w:pPr>
        <w:keepNext w:val="0"/>
        <w:keepLines w:val="0"/>
        <w:pageBreakBefore w:val="0"/>
        <w:widowControl/>
        <w:kinsoku/>
        <w:overflowPunct/>
        <w:autoSpaceDE/>
        <w:autoSpaceDN/>
        <w:bidi w:val="0"/>
        <w:adjustRightInd/>
        <w:snapToGrid w:val="0"/>
        <w:spacing w:line="560" w:lineRule="exact"/>
        <w:ind w:firstLine="700"/>
        <w:textAlignment w:val="auto"/>
        <w:rPr>
          <w:rStyle w:val="9"/>
          <w:rFonts w:cs="Times New Roman"/>
          <w:spacing w:val="15"/>
          <w:kern w:val="0"/>
          <w:szCs w:val="32"/>
          <w:lang w:bidi="ar"/>
        </w:rPr>
      </w:pPr>
      <w:r>
        <w:rPr>
          <w:rStyle w:val="9"/>
          <w:rFonts w:hint="eastAsia" w:ascii="方正楷体_GBK" w:hAnsi="方正楷体_GBK" w:eastAsia="方正楷体_GBK" w:cs="方正楷体_GBK"/>
          <w:b w:val="0"/>
          <w:bCs/>
          <w:spacing w:val="15"/>
          <w:kern w:val="0"/>
          <w:szCs w:val="32"/>
          <w:lang w:bidi="ar"/>
        </w:rPr>
        <w:t>（九）提升办理破产质效。</w:t>
      </w:r>
      <w:r>
        <w:rPr>
          <w:rFonts w:cs="Times New Roman"/>
          <w:spacing w:val="15"/>
          <w:kern w:val="0"/>
          <w:szCs w:val="32"/>
          <w:lang w:bidi="ar"/>
        </w:rPr>
        <w:t>坚持把非诉机制挺在前面，深入推进诉源治理，健全分层递进、繁简结合的社会矛盾纠纷多元化解机制，加强府院联动共治。推进破产审判信息化水平不断提升，全面优化审判管理模式。提高破产案件审判质效，法院破产案件平均审理周期不超过730天，破产申请审查案件平均审理周期不超过55天。完善破产财产多元化处置方式，依法支持市场化债务重组，灵活运用重整、和解等手段，推动企业再生。</w:t>
      </w:r>
      <w:r>
        <w:rPr>
          <w:rStyle w:val="9"/>
          <w:rFonts w:hint="eastAsia" w:ascii="方正楷体_GBK" w:hAnsi="方正楷体_GBK" w:eastAsia="方正楷体_GBK" w:cs="方正楷体_GBK"/>
          <w:b w:val="0"/>
          <w:bCs/>
          <w:spacing w:val="15"/>
          <w:kern w:val="0"/>
          <w:szCs w:val="32"/>
          <w:lang w:bidi="ar"/>
        </w:rPr>
        <w:t>（牵头单位：</w:t>
      </w:r>
      <w:r>
        <w:rPr>
          <w:rStyle w:val="9"/>
          <w:rFonts w:hint="eastAsia" w:ascii="方正楷体_GBK" w:hAnsi="方正楷体_GBK" w:eastAsia="方正楷体_GBK" w:cs="方正楷体_GBK"/>
          <w:b w:val="0"/>
          <w:bCs/>
          <w:spacing w:val="15"/>
          <w:kern w:val="0"/>
          <w:szCs w:val="32"/>
          <w:lang w:eastAsia="zh-CN" w:bidi="ar"/>
        </w:rPr>
        <w:t>县人民法院</w:t>
      </w:r>
      <w:r>
        <w:rPr>
          <w:rStyle w:val="9"/>
          <w:rFonts w:hint="eastAsia" w:ascii="方正楷体_GBK" w:hAnsi="方正楷体_GBK" w:eastAsia="方正楷体_GBK" w:cs="方正楷体_GBK"/>
          <w:b w:val="0"/>
          <w:bCs/>
          <w:spacing w:val="15"/>
          <w:kern w:val="0"/>
          <w:szCs w:val="32"/>
          <w:lang w:bidi="ar"/>
        </w:rPr>
        <w:t>；责任单位：县直有关单位，</w:t>
      </w:r>
      <w:r>
        <w:rPr>
          <w:rStyle w:val="9"/>
          <w:rFonts w:hint="eastAsia" w:ascii="方正楷体_GBK" w:hAnsi="方正楷体_GBK" w:eastAsia="方正楷体_GBK" w:cs="方正楷体_GBK"/>
          <w:b w:val="0"/>
          <w:bCs/>
          <w:spacing w:val="15"/>
          <w:kern w:val="0"/>
          <w:szCs w:val="32"/>
          <w:lang w:eastAsia="zh-CN" w:bidi="ar"/>
        </w:rPr>
        <w:t>各乡镇人民政府、陇川农场社区管委会</w:t>
      </w:r>
      <w:r>
        <w:rPr>
          <w:rStyle w:val="9"/>
          <w:rFonts w:hint="eastAsia" w:ascii="方正楷体_GBK" w:hAnsi="方正楷体_GBK" w:eastAsia="方正楷体_GBK" w:cs="方正楷体_GBK"/>
          <w:b w:val="0"/>
          <w:bCs/>
          <w:spacing w:val="15"/>
          <w:kern w:val="0"/>
          <w:szCs w:val="32"/>
          <w:lang w:bidi="ar"/>
        </w:rPr>
        <w:t>）</w:t>
      </w:r>
    </w:p>
    <w:p>
      <w:pPr>
        <w:keepNext w:val="0"/>
        <w:keepLines w:val="0"/>
        <w:pageBreakBefore w:val="0"/>
        <w:widowControl/>
        <w:kinsoku/>
        <w:overflowPunct/>
        <w:autoSpaceDE/>
        <w:autoSpaceDN/>
        <w:bidi w:val="0"/>
        <w:adjustRightInd/>
        <w:snapToGrid w:val="0"/>
        <w:spacing w:line="560" w:lineRule="exact"/>
        <w:ind w:firstLine="700"/>
        <w:textAlignment w:val="auto"/>
        <w:rPr>
          <w:rStyle w:val="9"/>
          <w:rFonts w:cs="Times New Roman"/>
          <w:b w:val="0"/>
          <w:bCs/>
          <w:spacing w:val="15"/>
          <w:kern w:val="0"/>
          <w:szCs w:val="32"/>
          <w:lang w:bidi="ar"/>
        </w:rPr>
      </w:pPr>
      <w:r>
        <w:rPr>
          <w:rStyle w:val="9"/>
          <w:rFonts w:hint="eastAsia" w:ascii="方正楷体_GBK" w:hAnsi="方正楷体_GBK" w:eastAsia="方正楷体_GBK" w:cs="方正楷体_GBK"/>
          <w:b w:val="0"/>
          <w:bCs/>
          <w:spacing w:val="15"/>
          <w:kern w:val="0"/>
          <w:szCs w:val="32"/>
          <w:lang w:bidi="ar"/>
        </w:rPr>
        <w:t>（十）健全市场监管体系建设。</w:t>
      </w:r>
      <w:r>
        <w:rPr>
          <w:rFonts w:cs="Times New Roman"/>
          <w:spacing w:val="15"/>
          <w:kern w:val="0"/>
          <w:szCs w:val="32"/>
          <w:lang w:bidi="ar"/>
        </w:rPr>
        <w:t>积极推行行政执法包容审慎监管，建立健全各领域行政处罚裁量权基准制度。规范监管执法行为，督促各行政执法单位清理调整不合理罚款事项，防止以罚增收、以罚代管、逐利执法、违规设置罚款项目、擅自提高罚款标准等行为。全面实施市场监管领域跨部门联合“双随机、一公开”监管，进一步拓展监管覆盖面。制定抽查检查计划，调整完善随机抽查“两单”“两库”，实现抽查检查结果公示达100%。深入实施守信激励和失信惩戒，健全市场主体的信用承诺制度，加大公共信用报告、公共信用综合评价结果运用力度，提升市场主体信用意识，构建市场监管系统分级分类监管机制。在市场监管、城市管理、应急管理、消防安全、交通运输、生态环境等领域，制定完善执法工作指引和标准化检查表单，规范日常监管行为。进一步加大知识产权保护，提升市场主体知识产权行政保护效能，开展知识产权保护专项执法行动，加大对重点领域、关键环节侵权行为的打击和治理力度，激发企业知识产权创新活力。</w:t>
      </w:r>
      <w:r>
        <w:rPr>
          <w:rStyle w:val="9"/>
          <w:rFonts w:hint="eastAsia" w:ascii="方正楷体_GBK" w:hAnsi="方正楷体_GBK" w:eastAsia="方正楷体_GBK" w:cs="方正楷体_GBK"/>
          <w:b w:val="0"/>
          <w:bCs/>
          <w:spacing w:val="15"/>
          <w:kern w:val="0"/>
          <w:szCs w:val="32"/>
          <w:lang w:bidi="ar"/>
        </w:rPr>
        <w:t>（牵头单位：</w:t>
      </w:r>
      <w:r>
        <w:rPr>
          <w:rStyle w:val="9"/>
          <w:rFonts w:hint="eastAsia" w:ascii="方正楷体_GBK" w:hAnsi="方正楷体_GBK" w:eastAsia="方正楷体_GBK" w:cs="方正楷体_GBK"/>
          <w:b w:val="0"/>
          <w:bCs/>
          <w:spacing w:val="15"/>
          <w:kern w:val="0"/>
          <w:szCs w:val="32"/>
          <w:lang w:eastAsia="zh-CN" w:bidi="ar"/>
        </w:rPr>
        <w:t>县市场监督管理局</w:t>
      </w:r>
      <w:r>
        <w:rPr>
          <w:rStyle w:val="9"/>
          <w:rFonts w:hint="eastAsia" w:ascii="方正楷体_GBK" w:hAnsi="方正楷体_GBK" w:eastAsia="方正楷体_GBK" w:cs="方正楷体_GBK"/>
          <w:b w:val="0"/>
          <w:bCs/>
          <w:spacing w:val="15"/>
          <w:kern w:val="0"/>
          <w:szCs w:val="32"/>
          <w:lang w:bidi="ar"/>
        </w:rPr>
        <w:t>、县司法局、县发展和改革局、州生态环境局陇川分局、县住房和城乡建设局、县交通运输局、县农业农村局、县文化和旅游局、县应急管理局；责任单位：县直有关单位，</w:t>
      </w:r>
      <w:r>
        <w:rPr>
          <w:rStyle w:val="9"/>
          <w:rFonts w:hint="eastAsia" w:ascii="方正楷体_GBK" w:hAnsi="方正楷体_GBK" w:eastAsia="方正楷体_GBK" w:cs="方正楷体_GBK"/>
          <w:b w:val="0"/>
          <w:bCs/>
          <w:spacing w:val="15"/>
          <w:kern w:val="0"/>
          <w:szCs w:val="32"/>
          <w:lang w:eastAsia="zh-CN" w:bidi="ar"/>
        </w:rPr>
        <w:t>各乡镇人民政府、陇川农场社区管委会</w:t>
      </w:r>
      <w:r>
        <w:rPr>
          <w:rStyle w:val="9"/>
          <w:rFonts w:hint="eastAsia" w:ascii="方正楷体_GBK" w:hAnsi="方正楷体_GBK" w:eastAsia="方正楷体_GBK" w:cs="方正楷体_GBK"/>
          <w:b w:val="0"/>
          <w:bCs/>
          <w:spacing w:val="15"/>
          <w:kern w:val="0"/>
          <w:szCs w:val="32"/>
          <w:lang w:bidi="ar"/>
        </w:rPr>
        <w:t>）</w:t>
      </w:r>
    </w:p>
    <w:p>
      <w:pPr>
        <w:keepNext w:val="0"/>
        <w:keepLines w:val="0"/>
        <w:pageBreakBefore w:val="0"/>
        <w:widowControl/>
        <w:kinsoku/>
        <w:overflowPunct/>
        <w:autoSpaceDE/>
        <w:autoSpaceDN/>
        <w:bidi w:val="0"/>
        <w:adjustRightInd/>
        <w:snapToGrid w:val="0"/>
        <w:spacing w:line="560" w:lineRule="exact"/>
        <w:ind w:firstLine="700"/>
        <w:textAlignment w:val="auto"/>
        <w:rPr>
          <w:rFonts w:cs="Times New Roman"/>
          <w:bCs/>
          <w:szCs w:val="32"/>
        </w:rPr>
      </w:pPr>
      <w:r>
        <w:rPr>
          <w:rStyle w:val="9"/>
          <w:rFonts w:hint="eastAsia" w:ascii="方正楷体_GBK" w:hAnsi="方正楷体_GBK" w:eastAsia="方正楷体_GBK" w:cs="方正楷体_GBK"/>
          <w:b w:val="0"/>
          <w:bCs/>
          <w:spacing w:val="15"/>
          <w:kern w:val="0"/>
          <w:szCs w:val="32"/>
          <w:lang w:bidi="ar"/>
        </w:rPr>
        <w:t>（十一）打造宜居宜业环境。</w:t>
      </w:r>
      <w:r>
        <w:rPr>
          <w:rFonts w:cs="Times New Roman"/>
          <w:spacing w:val="15"/>
          <w:kern w:val="0"/>
          <w:szCs w:val="32"/>
          <w:lang w:bidi="ar"/>
        </w:rPr>
        <w:t>落实“两为主、两纳入、以居住证为主要依据”的随迁子女义务教育入学政策，随迁子女义务教育适龄儿童在公办学校完成学业，全</w:t>
      </w:r>
      <w:r>
        <w:rPr>
          <w:rFonts w:hint="eastAsia" w:cs="Times New Roman"/>
          <w:spacing w:val="15"/>
          <w:kern w:val="0"/>
          <w:szCs w:val="32"/>
          <w:lang w:bidi="ar"/>
        </w:rPr>
        <w:t>县</w:t>
      </w:r>
      <w:r>
        <w:rPr>
          <w:rFonts w:cs="Times New Roman"/>
          <w:spacing w:val="15"/>
          <w:kern w:val="0"/>
          <w:szCs w:val="32"/>
          <w:lang w:bidi="ar"/>
        </w:rPr>
        <w:t>随迁子女在公办学校接受义务教育比例</w:t>
      </w:r>
      <w:r>
        <w:rPr>
          <w:rFonts w:hint="eastAsia" w:cs="Times New Roman"/>
          <w:spacing w:val="15"/>
          <w:kern w:val="0"/>
          <w:szCs w:val="32"/>
          <w:lang w:bidi="ar"/>
        </w:rPr>
        <w:t>达100</w:t>
      </w:r>
      <w:r>
        <w:rPr>
          <w:rFonts w:cs="Times New Roman"/>
          <w:spacing w:val="15"/>
          <w:kern w:val="0"/>
          <w:szCs w:val="32"/>
          <w:lang w:bidi="ar"/>
        </w:rPr>
        <w:t>%。持续推进县级公立医院提质达标建设，提升公共医疗服务能力。鼓励各</w:t>
      </w:r>
      <w:r>
        <w:rPr>
          <w:rFonts w:hint="eastAsia" w:cs="Times New Roman"/>
          <w:spacing w:val="15"/>
          <w:kern w:val="0"/>
          <w:szCs w:val="32"/>
          <w:lang w:bidi="ar"/>
        </w:rPr>
        <w:t>乡镇</w:t>
      </w:r>
      <w:r>
        <w:rPr>
          <w:rFonts w:cs="Times New Roman"/>
          <w:spacing w:val="15"/>
          <w:kern w:val="0"/>
          <w:szCs w:val="32"/>
          <w:lang w:bidi="ar"/>
        </w:rPr>
        <w:t>依托住宅小区、景区景点、文化创意园区，建设“城市书房”、“百姓书屋”、“文化驿站”、“乡愁书院”等一批新型公共文化主题功能空间。实施戏曲进乡村演出活动，</w:t>
      </w:r>
      <w:r>
        <w:rPr>
          <w:rFonts w:hint="eastAsia" w:cs="Times New Roman"/>
          <w:spacing w:val="15"/>
          <w:kern w:val="0"/>
          <w:szCs w:val="32"/>
          <w:lang w:bidi="ar"/>
        </w:rPr>
        <w:t>鼓励</w:t>
      </w:r>
      <w:r>
        <w:rPr>
          <w:rFonts w:cs="Times New Roman"/>
          <w:spacing w:val="15"/>
          <w:kern w:val="0"/>
          <w:szCs w:val="32"/>
          <w:lang w:bidi="ar"/>
        </w:rPr>
        <w:t>各乡镇开展文艺演出。强化养老公共服务建设，新建社区日间照料中心，区域养老服务中心。</w:t>
      </w:r>
      <w:r>
        <w:rPr>
          <w:rFonts w:hint="eastAsia" w:cs="Times New Roman"/>
          <w:spacing w:val="15"/>
          <w:kern w:val="0"/>
          <w:szCs w:val="32"/>
          <w:lang w:bidi="ar"/>
        </w:rPr>
        <w:t>实施</w:t>
      </w:r>
      <w:r>
        <w:rPr>
          <w:rFonts w:cs="Times New Roman"/>
          <w:spacing w:val="15"/>
          <w:kern w:val="0"/>
          <w:szCs w:val="32"/>
          <w:lang w:bidi="ar"/>
        </w:rPr>
        <w:t>失能、残疾、高龄困难老年人家庭居家适老化改造，建设“老年幸福食堂”。深入打好大气污染防治攻坚战，</w:t>
      </w:r>
      <w:r>
        <w:rPr>
          <w:rFonts w:hint="eastAsia" w:cs="Times New Roman"/>
          <w:spacing w:val="15"/>
          <w:kern w:val="0"/>
          <w:szCs w:val="32"/>
          <w:lang w:bidi="ar"/>
        </w:rPr>
        <w:t>完成</w:t>
      </w:r>
      <w:r>
        <w:rPr>
          <w:rFonts w:cs="Times New Roman"/>
          <w:spacing w:val="15"/>
          <w:kern w:val="0"/>
          <w:szCs w:val="32"/>
          <w:lang w:bidi="ar"/>
        </w:rPr>
        <w:t>空气质量优良天数</w:t>
      </w:r>
      <w:r>
        <w:rPr>
          <w:rFonts w:hint="eastAsia" w:cs="Times New Roman"/>
          <w:spacing w:val="15"/>
          <w:kern w:val="0"/>
          <w:szCs w:val="32"/>
          <w:lang w:bidi="ar"/>
        </w:rPr>
        <w:t>站比和</w:t>
      </w:r>
      <w:r>
        <w:rPr>
          <w:rFonts w:cs="Times New Roman"/>
          <w:spacing w:val="15"/>
          <w:kern w:val="0"/>
          <w:szCs w:val="32"/>
          <w:lang w:bidi="ar"/>
        </w:rPr>
        <w:t>细颗粒物年平均浓度控制值</w:t>
      </w:r>
      <w:r>
        <w:rPr>
          <w:rFonts w:hint="eastAsia" w:cs="Times New Roman"/>
          <w:spacing w:val="15"/>
          <w:kern w:val="0"/>
          <w:szCs w:val="32"/>
          <w:lang w:bidi="ar"/>
        </w:rPr>
        <w:t>均不低于全州平均值</w:t>
      </w:r>
      <w:r>
        <w:rPr>
          <w:rFonts w:cs="Times New Roman"/>
          <w:spacing w:val="15"/>
          <w:kern w:val="0"/>
          <w:szCs w:val="32"/>
          <w:lang w:bidi="ar"/>
        </w:rPr>
        <w:t>。全力打好水污染防治攻坚战，水质均值需达到或优于Ⅲ类水质，达标率100%。扎实打好土壤污染防治攻坚战，完农村生活污水治理率</w:t>
      </w:r>
      <w:r>
        <w:rPr>
          <w:rFonts w:hint="eastAsia" w:cs="Times New Roman"/>
          <w:spacing w:val="15"/>
          <w:kern w:val="0"/>
          <w:szCs w:val="32"/>
          <w:lang w:bidi="ar"/>
        </w:rPr>
        <w:t>50</w:t>
      </w:r>
      <w:r>
        <w:rPr>
          <w:rFonts w:cs="Times New Roman"/>
          <w:spacing w:val="15"/>
          <w:kern w:val="0"/>
          <w:szCs w:val="32"/>
          <w:lang w:bidi="ar"/>
        </w:rPr>
        <w:t>%。有序开展绿化工作，科学推进国土绿化，深入实施城乡绿化美化三年行动。在符合国土空间管控要求的基础上，深入挖掘可造林种草绿化空间资源，统筹落实造林绿化地块，实施开展生态建设，每年组织开展党政军领导义务植树活动1次以上，完成</w:t>
      </w:r>
      <w:r>
        <w:rPr>
          <w:rFonts w:hint="eastAsia" w:cs="Times New Roman"/>
          <w:spacing w:val="15"/>
          <w:kern w:val="0"/>
          <w:szCs w:val="32"/>
          <w:lang w:bidi="ar"/>
        </w:rPr>
        <w:t>州</w:t>
      </w:r>
      <w:r>
        <w:rPr>
          <w:rFonts w:cs="Times New Roman"/>
          <w:spacing w:val="15"/>
          <w:kern w:val="0"/>
          <w:szCs w:val="32"/>
          <w:lang w:bidi="ar"/>
        </w:rPr>
        <w:t>下达的营造林任务，进一步巩固和扩大生态空间。全力推进综合交通运输体系建设，加快构建完善综合交通枢纽，建设现代化高质量综合立体交通网络。</w:t>
      </w:r>
      <w:r>
        <w:rPr>
          <w:rStyle w:val="9"/>
          <w:rFonts w:hint="eastAsia" w:ascii="方正楷体_GBK" w:hAnsi="方正楷体_GBK" w:eastAsia="方正楷体_GBK" w:cs="方正楷体_GBK"/>
          <w:b w:val="0"/>
          <w:bCs/>
          <w:spacing w:val="15"/>
          <w:kern w:val="0"/>
          <w:szCs w:val="32"/>
          <w:lang w:bidi="ar"/>
        </w:rPr>
        <w:t>（牵头单位：县教育体育局、县卫生健康局、县文化和旅游局、县民政局、州生态环境局陇川分局、县农业农村局、</w:t>
      </w:r>
      <w:r>
        <w:rPr>
          <w:rStyle w:val="9"/>
          <w:rFonts w:hint="eastAsia" w:ascii="方正楷体_GBK" w:hAnsi="方正楷体_GBK" w:eastAsia="方正楷体_GBK" w:cs="方正楷体_GBK"/>
          <w:b w:val="0"/>
          <w:bCs/>
          <w:spacing w:val="15"/>
          <w:kern w:val="0"/>
          <w:szCs w:val="32"/>
          <w:lang w:eastAsia="zh-CN" w:bidi="ar"/>
        </w:rPr>
        <w:t>县林业和草原局</w:t>
      </w:r>
      <w:r>
        <w:rPr>
          <w:rStyle w:val="9"/>
          <w:rFonts w:hint="eastAsia" w:ascii="方正楷体_GBK" w:hAnsi="方正楷体_GBK" w:eastAsia="方正楷体_GBK" w:cs="方正楷体_GBK"/>
          <w:b w:val="0"/>
          <w:bCs/>
          <w:spacing w:val="15"/>
          <w:kern w:val="0"/>
          <w:szCs w:val="32"/>
          <w:lang w:bidi="ar"/>
        </w:rPr>
        <w:t>、县交通运输局、县自然资源局；责任单位：县直有关单位，</w:t>
      </w:r>
      <w:r>
        <w:rPr>
          <w:rStyle w:val="9"/>
          <w:rFonts w:hint="eastAsia" w:ascii="方正楷体_GBK" w:hAnsi="方正楷体_GBK" w:eastAsia="方正楷体_GBK" w:cs="方正楷体_GBK"/>
          <w:b w:val="0"/>
          <w:bCs/>
          <w:spacing w:val="15"/>
          <w:kern w:val="0"/>
          <w:szCs w:val="32"/>
          <w:lang w:eastAsia="zh-CN" w:bidi="ar"/>
        </w:rPr>
        <w:t>各乡镇人民政府、陇川农场社区管委会</w:t>
      </w:r>
      <w:r>
        <w:rPr>
          <w:rStyle w:val="9"/>
          <w:rFonts w:hint="eastAsia" w:ascii="方正楷体_GBK" w:hAnsi="方正楷体_GBK" w:eastAsia="方正楷体_GBK" w:cs="方正楷体_GBK"/>
          <w:b w:val="0"/>
          <w:bCs/>
          <w:spacing w:val="15"/>
          <w:kern w:val="0"/>
          <w:szCs w:val="32"/>
          <w:lang w:bidi="ar"/>
        </w:rPr>
        <w:t>）</w:t>
      </w:r>
    </w:p>
    <w:p>
      <w:pPr>
        <w:pStyle w:val="6"/>
        <w:keepNext w:val="0"/>
        <w:keepLines w:val="0"/>
        <w:pageBreakBefore w:val="0"/>
        <w:widowControl/>
        <w:kinsoku/>
        <w:overflowPunct/>
        <w:autoSpaceDE/>
        <w:autoSpaceDN/>
        <w:bidi w:val="0"/>
        <w:adjustRightInd/>
        <w:snapToGrid w:val="0"/>
        <w:spacing w:beforeAutospacing="0" w:afterAutospacing="0" w:line="560" w:lineRule="exact"/>
        <w:ind w:firstLine="640"/>
        <w:jc w:val="both"/>
        <w:textAlignment w:val="auto"/>
        <w:rPr>
          <w:rFonts w:ascii="方正黑体_GBK" w:hAnsi="方正黑体_GBK" w:eastAsia="方正黑体_GBK" w:cs="方正黑体_GBK"/>
          <w:bCs/>
          <w:sz w:val="32"/>
          <w:szCs w:val="32"/>
        </w:rPr>
      </w:pPr>
      <w:r>
        <w:rPr>
          <w:rStyle w:val="9"/>
          <w:rFonts w:hint="eastAsia" w:ascii="方正黑体_GBK" w:hAnsi="方正黑体_GBK" w:eastAsia="方正黑体_GBK" w:cs="方正黑体_GBK"/>
          <w:b w:val="0"/>
          <w:bCs/>
          <w:sz w:val="32"/>
          <w:szCs w:val="32"/>
        </w:rPr>
        <w:t>四、聚焦市场关切，全力打造放心、暖心、安心一流营商环境</w:t>
      </w:r>
    </w:p>
    <w:p>
      <w:pPr>
        <w:keepNext w:val="0"/>
        <w:keepLines w:val="0"/>
        <w:pageBreakBefore w:val="0"/>
        <w:widowControl/>
        <w:kinsoku/>
        <w:overflowPunct/>
        <w:autoSpaceDE/>
        <w:autoSpaceDN/>
        <w:bidi w:val="0"/>
        <w:adjustRightInd/>
        <w:snapToGrid w:val="0"/>
        <w:spacing w:line="560" w:lineRule="exact"/>
        <w:ind w:firstLine="700"/>
        <w:textAlignment w:val="auto"/>
        <w:rPr>
          <w:rStyle w:val="9"/>
          <w:rFonts w:cs="Times New Roman"/>
          <w:b w:val="0"/>
          <w:bCs/>
          <w:spacing w:val="15"/>
          <w:kern w:val="0"/>
          <w:szCs w:val="32"/>
          <w:lang w:bidi="ar"/>
        </w:rPr>
      </w:pPr>
      <w:r>
        <w:rPr>
          <w:rStyle w:val="9"/>
          <w:rFonts w:hint="eastAsia" w:ascii="方正楷体_GBK" w:hAnsi="方正楷体_GBK" w:eastAsia="方正楷体_GBK" w:cs="方正楷体_GBK"/>
          <w:b w:val="0"/>
          <w:bCs/>
          <w:spacing w:val="15"/>
          <w:kern w:val="0"/>
          <w:szCs w:val="32"/>
          <w:lang w:bidi="ar"/>
        </w:rPr>
        <w:t>（一）提升办事便利度。</w:t>
      </w:r>
      <w:r>
        <w:rPr>
          <w:rFonts w:cs="Times New Roman"/>
          <w:spacing w:val="15"/>
          <w:kern w:val="0"/>
          <w:szCs w:val="32"/>
          <w:lang w:bidi="ar"/>
        </w:rPr>
        <w:t>实施数字政府建设，建立健全政务数据共享协调机制，推进数据互联互通。在各级政务服务大厅全面推广使用统一申办受理系统，持续推进政务服务平台与部门业务办理系统的对接打通和数据共享，实现业务办理一网流转，全程网上办理。2023年底前，全</w:t>
      </w:r>
      <w:r>
        <w:rPr>
          <w:rFonts w:hint="eastAsia" w:cs="Times New Roman"/>
          <w:spacing w:val="15"/>
          <w:kern w:val="0"/>
          <w:szCs w:val="32"/>
          <w:lang w:bidi="ar"/>
        </w:rPr>
        <w:t>县</w:t>
      </w:r>
      <w:r>
        <w:rPr>
          <w:rFonts w:cs="Times New Roman"/>
          <w:spacing w:val="15"/>
          <w:kern w:val="0"/>
          <w:szCs w:val="32"/>
          <w:lang w:bidi="ar"/>
        </w:rPr>
        <w:t>政务服务事项网上可办率、全程网办率分别达到98%和80%以上。运用迭代升级的电子证照、电子印章系统，推动更多申请材料关联电子证照，实现纸质材料“免提交”，持续拓展电子证照应用领域和互通互认工作，支撑更多政务服务事项网上办、掌上办、一次办，推进电子证照标准化制发和电子证照社会化运用。加强电子证照线上线下融合服务，满足各类群体需求。积极配合工程建设项目审批管理系统与投资项目在线审批监管平台入口融合，形成项目统一报建大厅，提升项目审批效率。支持部门和企业自建审批服务平台与工程建设项目审批管理系统对接，实现数据共享，政企协同；对没有自建平台的水电气网相关部门和企业配发账号，依托工程建设项目审批管理系统，实现报装及审批跨层级、跨部门、跨系统全流程线上办理</w:t>
      </w:r>
      <w:r>
        <w:rPr>
          <w:rStyle w:val="9"/>
          <w:rFonts w:hint="eastAsia" w:ascii="方正楷体_GBK" w:hAnsi="方正楷体_GBK" w:eastAsia="方正楷体_GBK" w:cs="方正楷体_GBK"/>
          <w:b w:val="0"/>
          <w:bCs/>
          <w:spacing w:val="15"/>
          <w:kern w:val="0"/>
          <w:szCs w:val="32"/>
          <w:lang w:bidi="ar"/>
        </w:rPr>
        <w:t>。（牵头单位：县政务服务管理局、县发展和改革局、县住房和城乡建设局；责任单位：县公安局、县自然资源局、县交通运输局、中国移动陇川分公司、中国电信陇川分公司、中国联通陇川分公司、中国铁塔陇川分公司、中国广电陇川分公司、陇川供电局等有关部门，</w:t>
      </w:r>
      <w:r>
        <w:rPr>
          <w:rStyle w:val="9"/>
          <w:rFonts w:hint="eastAsia" w:ascii="方正楷体_GBK" w:hAnsi="方正楷体_GBK" w:eastAsia="方正楷体_GBK" w:cs="方正楷体_GBK"/>
          <w:b w:val="0"/>
          <w:bCs/>
          <w:spacing w:val="15"/>
          <w:kern w:val="0"/>
          <w:szCs w:val="32"/>
          <w:lang w:eastAsia="zh-CN" w:bidi="ar"/>
        </w:rPr>
        <w:t>各乡镇人民政府、陇川农场社区管委会</w:t>
      </w:r>
      <w:r>
        <w:rPr>
          <w:rStyle w:val="9"/>
          <w:rFonts w:hint="eastAsia" w:ascii="方正楷体_GBK" w:hAnsi="方正楷体_GBK" w:eastAsia="方正楷体_GBK" w:cs="方正楷体_GBK"/>
          <w:b w:val="0"/>
          <w:bCs/>
          <w:spacing w:val="15"/>
          <w:kern w:val="0"/>
          <w:szCs w:val="32"/>
          <w:lang w:bidi="ar"/>
        </w:rPr>
        <w:t>）</w:t>
      </w:r>
    </w:p>
    <w:p>
      <w:pPr>
        <w:keepNext w:val="0"/>
        <w:keepLines w:val="0"/>
        <w:pageBreakBefore w:val="0"/>
        <w:widowControl/>
        <w:kinsoku/>
        <w:wordWrap w:val="0"/>
        <w:overflowPunct/>
        <w:topLinePunct/>
        <w:autoSpaceDE/>
        <w:autoSpaceDN/>
        <w:bidi w:val="0"/>
        <w:adjustRightInd/>
        <w:snapToGrid w:val="0"/>
        <w:spacing w:line="560" w:lineRule="exact"/>
        <w:ind w:firstLine="700"/>
        <w:textAlignment w:val="auto"/>
        <w:rPr>
          <w:rStyle w:val="9"/>
          <w:rFonts w:cs="Times New Roman"/>
          <w:b w:val="0"/>
          <w:bCs/>
          <w:spacing w:val="15"/>
          <w:kern w:val="0"/>
          <w:szCs w:val="32"/>
          <w:lang w:bidi="ar"/>
        </w:rPr>
      </w:pPr>
      <w:r>
        <w:rPr>
          <w:rStyle w:val="9"/>
          <w:rFonts w:hint="eastAsia" w:ascii="方正楷体_GBK" w:hAnsi="方正楷体_GBK" w:eastAsia="方正楷体_GBK" w:cs="方正楷体_GBK"/>
          <w:b w:val="0"/>
          <w:bCs/>
          <w:spacing w:val="15"/>
          <w:kern w:val="0"/>
          <w:szCs w:val="32"/>
          <w:lang w:bidi="ar"/>
        </w:rPr>
        <w:t>（二）增强企业和群众获得感。</w:t>
      </w:r>
      <w:r>
        <w:rPr>
          <w:rFonts w:cs="Times New Roman"/>
          <w:spacing w:val="15"/>
          <w:kern w:val="0"/>
          <w:szCs w:val="32"/>
          <w:lang w:bidi="ar"/>
        </w:rPr>
        <w:t>优化服务质效，充分发挥省级惠企政策申报系统作用，进一步规范各类惠企政策申报落实，运用各级中小企业公共服务平台功能及省级一对一助企行动优势，丰富企业画像，全面了解归类处理企业诉求，实现政策推送精准匹配、企业诉求一站直达，普惠政策免申即享。提升信用服务水平，推动各级各部门融资信用服务平台规范对接省级节点，加大云南省中小企业融资综合信用服务平台宣传推广，引导中小微企业主动参与线上线下优惠利率信贷申请，不断提升中小微企业融资可获得性。全面推动政务服务“一件事一次办”事项清单落实，设置综合窗口完成涉及企业和个人的16个政务服务事项“一件事一次办”各项工作任务，探索推动更多企业和群众全生命周期重要阶段涉及的政务服务事项集成化办理。全面落实国家、省要求实现的“跨省通办”“省内通办”事项办理，更好满足企业和群众异地办事需求。巩固好已实现“跨省通办”“省内通办”事项的实际成果，鼓励开展地区之间区域通办、点对点通办事项清单对接，拓展“跨省通办”“省内通办”事项范围。持续深化政务服务“一网通办”，推动更多政务服务“网上办”“掌上办”“自助办”“就近办”，整合公安、社会保障、市场监管、医疗保障、税务等行业部门自助服务功能，推广24小时集成自助服务，依托银行、电力、邮政等网点自助服务终端，拓展服务渠道，深化“就近办”成效。持续加强政务（便民）服务中心（站）建设，提高电子政务服务外网在基层便民服务站的覆盖率。动态调整</w:t>
      </w:r>
      <w:r>
        <w:rPr>
          <w:rFonts w:hint="eastAsia" w:cs="Times New Roman"/>
          <w:spacing w:val="15"/>
          <w:kern w:val="0"/>
          <w:szCs w:val="32"/>
          <w:lang w:bidi="ar"/>
        </w:rPr>
        <w:t>陇川县</w:t>
      </w:r>
      <w:r>
        <w:rPr>
          <w:rFonts w:cs="Times New Roman"/>
          <w:spacing w:val="15"/>
          <w:kern w:val="0"/>
          <w:szCs w:val="32"/>
          <w:lang w:bidi="ar"/>
        </w:rPr>
        <w:t>行政许可事项清单，编制公布行政许可事项实施规范，提升政务服务事项办事指南准确性，做到线上线下同源发布、同步更新，实现线上线下“无差别受理、同标准办理”。</w:t>
      </w:r>
      <w:r>
        <w:rPr>
          <w:rStyle w:val="9"/>
          <w:rFonts w:hint="eastAsia" w:ascii="方正楷体_GBK" w:hAnsi="方正楷体_GBK" w:eastAsia="方正楷体_GBK" w:cs="方正楷体_GBK"/>
          <w:b w:val="0"/>
          <w:bCs/>
          <w:spacing w:val="15"/>
          <w:kern w:val="0"/>
          <w:szCs w:val="32"/>
          <w:lang w:bidi="ar"/>
        </w:rPr>
        <w:t>（牵头单位：县工业和商务科技局、县发展和改革局、县政务服务管理局、人行陇川县支行；责任单位：县直有关单位，</w:t>
      </w:r>
      <w:r>
        <w:rPr>
          <w:rStyle w:val="9"/>
          <w:rFonts w:hint="eastAsia" w:ascii="方正楷体_GBK" w:hAnsi="方正楷体_GBK" w:eastAsia="方正楷体_GBK" w:cs="方正楷体_GBK"/>
          <w:b w:val="0"/>
          <w:bCs/>
          <w:spacing w:val="15"/>
          <w:kern w:val="0"/>
          <w:szCs w:val="32"/>
          <w:lang w:eastAsia="zh-CN" w:bidi="ar"/>
        </w:rPr>
        <w:t>各乡镇人民政府、陇川农场社区管委会</w:t>
      </w:r>
      <w:r>
        <w:rPr>
          <w:rStyle w:val="9"/>
          <w:rFonts w:hint="eastAsia" w:ascii="方正楷体_GBK" w:hAnsi="方正楷体_GBK" w:eastAsia="方正楷体_GBK" w:cs="方正楷体_GBK"/>
          <w:b w:val="0"/>
          <w:bCs/>
          <w:spacing w:val="15"/>
          <w:kern w:val="0"/>
          <w:szCs w:val="32"/>
          <w:lang w:bidi="ar"/>
        </w:rPr>
        <w:t>）</w:t>
      </w:r>
    </w:p>
    <w:p>
      <w:pPr>
        <w:keepNext w:val="0"/>
        <w:keepLines w:val="0"/>
        <w:pageBreakBefore w:val="0"/>
        <w:widowControl/>
        <w:kinsoku/>
        <w:wordWrap w:val="0"/>
        <w:overflowPunct/>
        <w:topLinePunct/>
        <w:autoSpaceDE/>
        <w:autoSpaceDN/>
        <w:bidi w:val="0"/>
        <w:adjustRightInd/>
        <w:snapToGrid w:val="0"/>
        <w:spacing w:line="560" w:lineRule="exact"/>
        <w:ind w:firstLine="700"/>
        <w:textAlignment w:val="auto"/>
        <w:rPr>
          <w:rStyle w:val="9"/>
          <w:rFonts w:hint="eastAsia" w:ascii="方正楷体_GBK" w:hAnsi="方正楷体_GBK" w:eastAsia="方正楷体_GBK" w:cs="方正楷体_GBK"/>
          <w:b w:val="0"/>
          <w:bCs/>
          <w:spacing w:val="15"/>
          <w:kern w:val="0"/>
          <w:szCs w:val="32"/>
          <w:lang w:bidi="ar"/>
        </w:rPr>
      </w:pPr>
      <w:r>
        <w:rPr>
          <w:rStyle w:val="9"/>
          <w:rFonts w:hint="eastAsia" w:ascii="方正楷体_GBK" w:hAnsi="方正楷体_GBK" w:eastAsia="方正楷体_GBK" w:cs="方正楷体_GBK"/>
          <w:b w:val="0"/>
          <w:bCs/>
          <w:spacing w:val="15"/>
          <w:kern w:val="0"/>
          <w:szCs w:val="32"/>
          <w:lang w:bidi="ar"/>
        </w:rPr>
        <w:t>（三）激发市场创造力。</w:t>
      </w:r>
      <w:r>
        <w:rPr>
          <w:rFonts w:cs="Times New Roman"/>
          <w:spacing w:val="15"/>
          <w:kern w:val="0"/>
          <w:szCs w:val="32"/>
          <w:lang w:bidi="ar"/>
        </w:rPr>
        <w:t>不断升级创新创业环境，支持盘活闲置资产，开展创新创业平台全覆盖行动，发挥市场化专业化服务机构作用，提升创新创业孵化服务水平。整合资源，激发企业创新活力，以产业创新为驱动，积极组织多形式的创新创业活动，大力营造良好创新创业氛围，储备凝练优质的创新创业项目。加快推进人才创新创业平台建设，深入实施园区人才集聚行动，深化与“大院大所大校大企”的人才合作。完善人才引进培育政策体系，深化滇沪、滇闽合作机制，积极组织申报“兴滇英才支持计划”，高质量推进“英才兴边”计划，加强“产业技术拔尖人才、中青年学术和技术带头人、技术创新人才”的培养，增加高层次人才供给。分批建立招才引智工作站，组织</w:t>
      </w:r>
      <w:r>
        <w:rPr>
          <w:rFonts w:hint="eastAsia" w:cs="Times New Roman"/>
          <w:spacing w:val="15"/>
          <w:kern w:val="0"/>
          <w:szCs w:val="32"/>
          <w:lang w:bidi="ar"/>
        </w:rPr>
        <w:t>参加</w:t>
      </w:r>
      <w:r>
        <w:rPr>
          <w:rFonts w:cs="Times New Roman"/>
          <w:spacing w:val="15"/>
          <w:kern w:val="0"/>
          <w:szCs w:val="32"/>
          <w:lang w:bidi="ar"/>
        </w:rPr>
        <w:t>“德宏人才服务月”等服务引才活动。充分发挥云南省公共创业服务手册效用，结合我</w:t>
      </w:r>
      <w:r>
        <w:rPr>
          <w:rFonts w:hint="eastAsia" w:cs="Times New Roman"/>
          <w:spacing w:val="15"/>
          <w:kern w:val="0"/>
          <w:szCs w:val="32"/>
          <w:lang w:bidi="ar"/>
        </w:rPr>
        <w:t>县</w:t>
      </w:r>
      <w:r>
        <w:rPr>
          <w:rFonts w:cs="Times New Roman"/>
          <w:spacing w:val="15"/>
          <w:kern w:val="0"/>
          <w:szCs w:val="32"/>
          <w:lang w:bidi="ar"/>
        </w:rPr>
        <w:t>实情针对性做好服务指导，利用</w:t>
      </w:r>
      <w:r>
        <w:rPr>
          <w:rFonts w:hint="eastAsia" w:cs="Times New Roman"/>
          <w:spacing w:val="15"/>
          <w:kern w:val="0"/>
          <w:szCs w:val="32"/>
          <w:lang w:bidi="ar"/>
        </w:rPr>
        <w:t>县</w:t>
      </w:r>
      <w:r>
        <w:rPr>
          <w:rFonts w:cs="Times New Roman"/>
          <w:spacing w:val="15"/>
          <w:kern w:val="0"/>
          <w:szCs w:val="32"/>
          <w:lang w:bidi="ar"/>
        </w:rPr>
        <w:t>级中小企业公共服务平台专家库在册专家，更好服务创新创业活动，强化人力资源对接服务，制定创业担保贷款贴息及奖补资金管理实施细则和相关配套管理办法，构建“培训—孵化—成长”服务体系，为创业者提供综合性高质量创业服务。充分发挥企业技术中心作用，结合产业需求，探索建立以企业为主体、市场为导向、产学研用相结合的质量创新体系，鼓励企业加大研发投入，加强产业技术攻关。支持企业加强研发创新和知识产权创造与运用，落实专利费用减缴及专利申请优先审查等激励政策，提升知识产权创造质量和转化运用效益。积极推进中小企业梯度培育。推动建立高等院校开放科技资源与企业技术研发需求对接机制，提升企业研发能力。进一步规范版权登记工作，积极探索建设版权交易平台。</w:t>
      </w:r>
      <w:r>
        <w:rPr>
          <w:rStyle w:val="9"/>
          <w:rFonts w:hint="eastAsia" w:ascii="方正楷体_GBK" w:hAnsi="方正楷体_GBK" w:eastAsia="方正楷体_GBK" w:cs="方正楷体_GBK"/>
          <w:b w:val="0"/>
          <w:bCs/>
          <w:spacing w:val="15"/>
          <w:kern w:val="0"/>
          <w:szCs w:val="32"/>
          <w:lang w:bidi="ar"/>
        </w:rPr>
        <w:t>（牵头单位：县工业和商务科技局、县发展和改革局、县教育体育局、县人力资源和社会保障局、县委组织部（县人才办）、</w:t>
      </w:r>
      <w:r>
        <w:rPr>
          <w:rStyle w:val="9"/>
          <w:rFonts w:hint="eastAsia" w:ascii="方正楷体_GBK" w:hAnsi="方正楷体_GBK" w:eastAsia="方正楷体_GBK" w:cs="方正楷体_GBK"/>
          <w:b w:val="0"/>
          <w:bCs/>
          <w:spacing w:val="15"/>
          <w:kern w:val="0"/>
          <w:szCs w:val="32"/>
          <w:lang w:eastAsia="zh-CN" w:bidi="ar"/>
        </w:rPr>
        <w:t>县市场监督管理局</w:t>
      </w:r>
      <w:r>
        <w:rPr>
          <w:rStyle w:val="9"/>
          <w:rFonts w:hint="eastAsia" w:ascii="方正楷体_GBK" w:hAnsi="方正楷体_GBK" w:eastAsia="方正楷体_GBK" w:cs="方正楷体_GBK"/>
          <w:b w:val="0"/>
          <w:bCs/>
          <w:spacing w:val="15"/>
          <w:kern w:val="0"/>
          <w:szCs w:val="32"/>
          <w:lang w:bidi="ar"/>
        </w:rPr>
        <w:t>、陇川职业学院；责任单位：县直有关单位，</w:t>
      </w:r>
      <w:r>
        <w:rPr>
          <w:rStyle w:val="9"/>
          <w:rFonts w:hint="eastAsia" w:ascii="方正楷体_GBK" w:hAnsi="方正楷体_GBK" w:eastAsia="方正楷体_GBK" w:cs="方正楷体_GBK"/>
          <w:b w:val="0"/>
          <w:bCs/>
          <w:spacing w:val="15"/>
          <w:kern w:val="0"/>
          <w:szCs w:val="32"/>
          <w:lang w:eastAsia="zh-CN" w:bidi="ar"/>
        </w:rPr>
        <w:t>各乡镇人民政府、陇川农场社区管委会</w:t>
      </w:r>
      <w:r>
        <w:rPr>
          <w:rStyle w:val="9"/>
          <w:rFonts w:hint="eastAsia" w:ascii="方正楷体_GBK" w:hAnsi="方正楷体_GBK" w:eastAsia="方正楷体_GBK" w:cs="方正楷体_GBK"/>
          <w:b w:val="0"/>
          <w:bCs/>
          <w:spacing w:val="15"/>
          <w:kern w:val="0"/>
          <w:szCs w:val="32"/>
          <w:lang w:bidi="ar"/>
        </w:rPr>
        <w:t>）</w:t>
      </w:r>
    </w:p>
    <w:p>
      <w:pPr>
        <w:pStyle w:val="3"/>
        <w:keepNext w:val="0"/>
        <w:keepLines w:val="0"/>
        <w:pageBreakBefore w:val="0"/>
        <w:kinsoku/>
        <w:overflowPunct/>
        <w:autoSpaceDE/>
        <w:autoSpaceDN/>
        <w:bidi w:val="0"/>
        <w:adjustRightInd/>
        <w:snapToGrid w:val="0"/>
        <w:spacing w:line="560" w:lineRule="exact"/>
        <w:ind w:firstLine="640"/>
        <w:textAlignment w:val="auto"/>
      </w:pPr>
      <w:r>
        <w:rPr>
          <w:rFonts w:hint="eastAsia" w:ascii="方正黑体_GBK" w:hAnsi="方正黑体_GBK" w:eastAsia="方正黑体_GBK" w:cs="方正黑体_GBK"/>
          <w:sz w:val="32"/>
          <w:szCs w:val="32"/>
        </w:rPr>
        <w:t>五、高标准发展沿边自由贸易经济。</w:t>
      </w:r>
    </w:p>
    <w:p>
      <w:pPr>
        <w:keepNext w:val="0"/>
        <w:keepLines w:val="0"/>
        <w:pageBreakBefore w:val="0"/>
        <w:widowControl/>
        <w:kinsoku/>
        <w:overflowPunct/>
        <w:autoSpaceDE/>
        <w:autoSpaceDN/>
        <w:bidi w:val="0"/>
        <w:adjustRightInd/>
        <w:snapToGrid w:val="0"/>
        <w:spacing w:line="560" w:lineRule="exact"/>
        <w:ind w:firstLine="640"/>
        <w:textAlignment w:val="auto"/>
        <w:rPr>
          <w:rStyle w:val="9"/>
          <w:rFonts w:cs="Times New Roman"/>
          <w:b w:val="0"/>
          <w:bCs/>
          <w:spacing w:val="15"/>
          <w:kern w:val="0"/>
          <w:szCs w:val="32"/>
          <w:lang w:bidi="ar"/>
        </w:rPr>
      </w:pPr>
      <w:r>
        <w:rPr>
          <w:rFonts w:hint="eastAsia"/>
          <w:szCs w:val="32"/>
        </w:rPr>
        <w:t>推进商事主体登记确认制改革试点。探索开展“一业一证”等改革，推行市场主体住所（经营场所）登记改革。探索企业投资工业项目“区域评估+标准地+告知承诺制+政府配套服务”改革。推行一家牵头全程代办，开展各类帮办代办和咨询服务。深化跨境劳务合作，探索开展“组织化输入管理”毗邻国外籍人员入境务工工作。推动延边自由贸易经济营商环境制度创新、高质量发展</w:t>
      </w:r>
      <w:r>
        <w:rPr>
          <w:rFonts w:hint="eastAsia" w:ascii="方正仿宋_GBK" w:hAnsi="方正仿宋_GBK" w:cs="方正仿宋_GBK"/>
          <w:szCs w:val="32"/>
        </w:rPr>
        <w:t>。</w:t>
      </w:r>
      <w:r>
        <w:rPr>
          <w:rStyle w:val="9"/>
          <w:rFonts w:hint="eastAsia" w:ascii="方正楷体_GBK" w:hAnsi="方正楷体_GBK" w:eastAsia="方正楷体_GBK" w:cs="方正楷体_GBK"/>
          <w:b w:val="0"/>
          <w:bCs/>
          <w:spacing w:val="15"/>
          <w:kern w:val="0"/>
          <w:szCs w:val="32"/>
          <w:lang w:bidi="ar"/>
        </w:rPr>
        <w:t>（牵头单位：县工业和商务科技局；责任单位：</w:t>
      </w:r>
      <w:r>
        <w:rPr>
          <w:rStyle w:val="9"/>
          <w:rFonts w:hint="eastAsia" w:ascii="方正楷体_GBK" w:hAnsi="方正楷体_GBK" w:eastAsia="方正楷体_GBK" w:cs="方正楷体_GBK"/>
          <w:b w:val="0"/>
          <w:bCs/>
          <w:spacing w:val="15"/>
          <w:kern w:val="0"/>
          <w:szCs w:val="32"/>
          <w:lang w:eastAsia="zh-CN" w:bidi="ar"/>
        </w:rPr>
        <w:t>县市场监督管理局</w:t>
      </w:r>
      <w:r>
        <w:rPr>
          <w:rStyle w:val="9"/>
          <w:rFonts w:hint="eastAsia" w:ascii="方正楷体_GBK" w:hAnsi="方正楷体_GBK" w:eastAsia="方正楷体_GBK" w:cs="方正楷体_GBK"/>
          <w:b w:val="0"/>
          <w:bCs/>
          <w:spacing w:val="15"/>
          <w:kern w:val="0"/>
          <w:szCs w:val="32"/>
          <w:lang w:bidi="ar"/>
        </w:rPr>
        <w:t>、县政务服务管理局、县公安局、</w:t>
      </w:r>
      <w:r>
        <w:rPr>
          <w:rStyle w:val="9"/>
          <w:rFonts w:hint="eastAsia" w:ascii="方正楷体_GBK" w:hAnsi="方正楷体_GBK" w:eastAsia="方正楷体_GBK" w:cs="方正楷体_GBK"/>
          <w:b w:val="0"/>
          <w:bCs/>
          <w:spacing w:val="15"/>
          <w:kern w:val="0"/>
          <w:szCs w:val="32"/>
          <w:lang w:eastAsia="zh-CN" w:bidi="ar"/>
        </w:rPr>
        <w:t>县人力资源和社会保障局</w:t>
      </w:r>
      <w:r>
        <w:rPr>
          <w:rStyle w:val="9"/>
          <w:rFonts w:hint="eastAsia" w:ascii="方正楷体_GBK" w:hAnsi="方正楷体_GBK" w:eastAsia="方正楷体_GBK" w:cs="方正楷体_GBK"/>
          <w:b w:val="0"/>
          <w:bCs/>
          <w:spacing w:val="15"/>
          <w:kern w:val="0"/>
          <w:szCs w:val="32"/>
          <w:lang w:bidi="ar"/>
        </w:rPr>
        <w:t>、县财政局、县税务局、人行陇川县支行等有关单位）</w:t>
      </w:r>
    </w:p>
    <w:p>
      <w:pPr>
        <w:pStyle w:val="6"/>
        <w:keepNext w:val="0"/>
        <w:keepLines w:val="0"/>
        <w:pageBreakBefore w:val="0"/>
        <w:widowControl/>
        <w:kinsoku/>
        <w:overflowPunct/>
        <w:autoSpaceDE/>
        <w:autoSpaceDN/>
        <w:bidi w:val="0"/>
        <w:adjustRightInd/>
        <w:snapToGrid w:val="0"/>
        <w:spacing w:beforeAutospacing="0" w:afterAutospacing="0" w:line="560" w:lineRule="exact"/>
        <w:ind w:firstLine="640" w:firstLineChars="200"/>
        <w:jc w:val="both"/>
        <w:textAlignment w:val="auto"/>
        <w:rPr>
          <w:rFonts w:ascii="方正黑体_GBK" w:hAnsi="方正黑体_GBK" w:eastAsia="方正黑体_GBK" w:cs="方正黑体_GBK"/>
          <w:bCs/>
          <w:sz w:val="32"/>
          <w:szCs w:val="32"/>
        </w:rPr>
      </w:pPr>
      <w:r>
        <w:rPr>
          <w:rStyle w:val="9"/>
          <w:rFonts w:hint="eastAsia" w:ascii="方正黑体_GBK" w:hAnsi="方正黑体_GBK" w:eastAsia="方正黑体_GBK" w:cs="方正黑体_GBK"/>
          <w:b w:val="0"/>
          <w:bCs/>
          <w:sz w:val="32"/>
          <w:szCs w:val="32"/>
        </w:rPr>
        <w:t>六、保障措施</w:t>
      </w:r>
    </w:p>
    <w:p>
      <w:pPr>
        <w:keepNext w:val="0"/>
        <w:keepLines w:val="0"/>
        <w:pageBreakBefore w:val="0"/>
        <w:widowControl/>
        <w:kinsoku/>
        <w:overflowPunct/>
        <w:autoSpaceDE/>
        <w:autoSpaceDN/>
        <w:bidi w:val="0"/>
        <w:adjustRightInd/>
        <w:snapToGrid w:val="0"/>
        <w:spacing w:line="560" w:lineRule="exact"/>
        <w:ind w:firstLine="700"/>
        <w:textAlignment w:val="auto"/>
        <w:rPr>
          <w:rFonts w:cs="Times New Roman"/>
          <w:spacing w:val="15"/>
          <w:kern w:val="0"/>
          <w:szCs w:val="32"/>
          <w:lang w:bidi="ar"/>
        </w:rPr>
      </w:pPr>
      <w:r>
        <w:rPr>
          <w:rStyle w:val="9"/>
          <w:rFonts w:hint="eastAsia" w:ascii="方正楷体_GBK" w:hAnsi="方正楷体_GBK" w:eastAsia="方正楷体_GBK" w:cs="方正楷体_GBK"/>
          <w:b w:val="0"/>
          <w:bCs/>
          <w:spacing w:val="15"/>
          <w:kern w:val="0"/>
          <w:szCs w:val="32"/>
          <w:lang w:bidi="ar"/>
        </w:rPr>
        <w:t>（一）健全机制。</w:t>
      </w:r>
      <w:r>
        <w:rPr>
          <w:rFonts w:cs="Times New Roman"/>
          <w:spacing w:val="15"/>
          <w:kern w:val="0"/>
          <w:szCs w:val="32"/>
          <w:lang w:bidi="ar"/>
        </w:rPr>
        <w:t>充分发挥</w:t>
      </w:r>
      <w:r>
        <w:rPr>
          <w:rFonts w:hint="eastAsia" w:cs="Times New Roman"/>
          <w:spacing w:val="15"/>
          <w:kern w:val="0"/>
          <w:szCs w:val="32"/>
          <w:lang w:bidi="ar"/>
        </w:rPr>
        <w:t>陇川县</w:t>
      </w:r>
      <w:r>
        <w:rPr>
          <w:rFonts w:cs="Times New Roman"/>
          <w:spacing w:val="15"/>
          <w:kern w:val="0"/>
          <w:szCs w:val="32"/>
          <w:lang w:bidi="ar"/>
        </w:rPr>
        <w:t>优化营商环境促进市场主体倍增领导小组办公室（以下简称领导小组办公室）统筹协调、各部门协同推进工作机制作用，推动相关领域改革取得突破。各指标牵头单位要统筹相关部门细化举措，各部门要密切配合、强化信息共享、政策协同、工作联动，加强组织实施，形成发现问题、对标改进、总结提升、宣传推广工作闭环。</w:t>
      </w:r>
    </w:p>
    <w:p>
      <w:pPr>
        <w:keepNext w:val="0"/>
        <w:keepLines w:val="0"/>
        <w:pageBreakBefore w:val="0"/>
        <w:widowControl/>
        <w:kinsoku/>
        <w:overflowPunct/>
        <w:autoSpaceDE/>
        <w:autoSpaceDN/>
        <w:bidi w:val="0"/>
        <w:adjustRightInd/>
        <w:snapToGrid w:val="0"/>
        <w:spacing w:line="560" w:lineRule="exact"/>
        <w:ind w:firstLine="700"/>
        <w:textAlignment w:val="auto"/>
        <w:rPr>
          <w:rFonts w:cs="Times New Roman"/>
          <w:spacing w:val="15"/>
          <w:kern w:val="0"/>
          <w:szCs w:val="32"/>
          <w:lang w:bidi="ar"/>
        </w:rPr>
      </w:pPr>
      <w:r>
        <w:rPr>
          <w:rStyle w:val="9"/>
          <w:rFonts w:hint="eastAsia" w:ascii="方正楷体_GBK" w:hAnsi="方正楷体_GBK" w:eastAsia="方正楷体_GBK" w:cs="方正楷体_GBK"/>
          <w:b w:val="0"/>
          <w:bCs/>
          <w:spacing w:val="15"/>
          <w:kern w:val="0"/>
          <w:szCs w:val="32"/>
          <w:lang w:bidi="ar"/>
        </w:rPr>
        <w:t>（二）督促落实。</w:t>
      </w:r>
      <w:r>
        <w:rPr>
          <w:rFonts w:cs="Times New Roman"/>
          <w:spacing w:val="15"/>
          <w:kern w:val="0"/>
          <w:szCs w:val="32"/>
          <w:lang w:bidi="ar"/>
        </w:rPr>
        <w:t>领导小组办公室按季度对重点任务推进情况进行调度，会同有关部门查找堵点问题、及时作出政策响应。全</w:t>
      </w:r>
      <w:r>
        <w:rPr>
          <w:rFonts w:hint="eastAsia" w:cs="Times New Roman"/>
          <w:spacing w:val="15"/>
          <w:kern w:val="0"/>
          <w:szCs w:val="32"/>
          <w:lang w:bidi="ar"/>
        </w:rPr>
        <w:t>县</w:t>
      </w:r>
      <w:r>
        <w:rPr>
          <w:rFonts w:cs="Times New Roman"/>
          <w:spacing w:val="15"/>
          <w:kern w:val="0"/>
          <w:szCs w:val="32"/>
          <w:lang w:bidi="ar"/>
        </w:rPr>
        <w:t>各级各部门要进一步压实责任，结合“营商环境暖心行动”“营商环境不优”专项整治，以及</w:t>
      </w:r>
      <w:r>
        <w:rPr>
          <w:rFonts w:hint="eastAsia" w:cs="Times New Roman"/>
          <w:spacing w:val="15"/>
          <w:kern w:val="0"/>
          <w:szCs w:val="32"/>
          <w:lang w:bidi="ar"/>
        </w:rPr>
        <w:t>陇川县</w:t>
      </w:r>
      <w:r>
        <w:rPr>
          <w:rFonts w:cs="Times New Roman"/>
          <w:spacing w:val="15"/>
          <w:kern w:val="0"/>
          <w:szCs w:val="32"/>
          <w:lang w:bidi="ar"/>
        </w:rPr>
        <w:t>“当面见企业”等活动推进各项工作落实，确保全年任务按计划如期完成。</w:t>
      </w:r>
    </w:p>
    <w:p>
      <w:pPr>
        <w:keepNext w:val="0"/>
        <w:keepLines w:val="0"/>
        <w:pageBreakBefore w:val="0"/>
        <w:widowControl/>
        <w:kinsoku/>
        <w:overflowPunct/>
        <w:autoSpaceDE/>
        <w:autoSpaceDN/>
        <w:bidi w:val="0"/>
        <w:adjustRightInd/>
        <w:snapToGrid w:val="0"/>
        <w:spacing w:line="560" w:lineRule="exact"/>
        <w:ind w:firstLine="700"/>
        <w:textAlignment w:val="auto"/>
        <w:rPr>
          <w:rFonts w:cs="Times New Roman"/>
          <w:spacing w:val="15"/>
          <w:kern w:val="0"/>
          <w:szCs w:val="32"/>
          <w:lang w:bidi="ar"/>
        </w:rPr>
      </w:pPr>
      <w:r>
        <w:rPr>
          <w:rStyle w:val="9"/>
          <w:rFonts w:hint="eastAsia" w:ascii="方正楷体_GBK" w:hAnsi="方正楷体_GBK" w:eastAsia="方正楷体_GBK" w:cs="方正楷体_GBK"/>
          <w:b w:val="0"/>
          <w:bCs/>
          <w:spacing w:val="15"/>
          <w:kern w:val="0"/>
          <w:szCs w:val="32"/>
          <w:lang w:bidi="ar"/>
        </w:rPr>
        <w:t>（三）加大宣传力度。</w:t>
      </w:r>
      <w:r>
        <w:rPr>
          <w:rFonts w:cs="Times New Roman"/>
          <w:spacing w:val="15"/>
          <w:kern w:val="0"/>
          <w:szCs w:val="32"/>
          <w:lang w:bidi="ar"/>
        </w:rPr>
        <w:t>各部门要结合实际大胆探索、创新举措，形成一批改革经验案例，将营商环境宣传推介纳入全</w:t>
      </w:r>
      <w:r>
        <w:rPr>
          <w:rFonts w:hint="eastAsia" w:cs="Times New Roman"/>
          <w:spacing w:val="15"/>
          <w:kern w:val="0"/>
          <w:szCs w:val="32"/>
          <w:lang w:bidi="ar"/>
        </w:rPr>
        <w:t>县</w:t>
      </w:r>
      <w:r>
        <w:rPr>
          <w:rFonts w:cs="Times New Roman"/>
          <w:spacing w:val="15"/>
          <w:kern w:val="0"/>
          <w:szCs w:val="32"/>
          <w:lang w:bidi="ar"/>
        </w:rPr>
        <w:t>宣传工作重点，并加大宣传力度，建立营商环境典型经验做法推广机制，抓好营商环境创新试点改革举措复制推广工作，构建“处处都是营商环境，人人都是形象使者”良好氛围，打造具有德宏特色的营商环境新品牌。</w:t>
      </w:r>
    </w:p>
    <w:p>
      <w:pPr>
        <w:keepNext w:val="0"/>
        <w:keepLines w:val="0"/>
        <w:pageBreakBefore w:val="0"/>
        <w:widowControl/>
        <w:kinsoku/>
        <w:overflowPunct/>
        <w:autoSpaceDE/>
        <w:autoSpaceDN/>
        <w:bidi w:val="0"/>
        <w:adjustRightInd/>
        <w:snapToGrid w:val="0"/>
        <w:spacing w:line="560" w:lineRule="exact"/>
        <w:ind w:firstLine="700"/>
        <w:textAlignment w:val="auto"/>
        <w:rPr>
          <w:rFonts w:cs="Times New Roman"/>
          <w:szCs w:val="32"/>
        </w:rPr>
      </w:pPr>
      <w:r>
        <w:rPr>
          <w:rStyle w:val="9"/>
          <w:rFonts w:hint="eastAsia" w:ascii="方正楷体_GBK" w:hAnsi="方正楷体_GBK" w:eastAsia="方正楷体_GBK" w:cs="方正楷体_GBK"/>
          <w:b w:val="0"/>
          <w:bCs/>
          <w:spacing w:val="15"/>
          <w:kern w:val="0"/>
          <w:szCs w:val="32"/>
          <w:lang w:bidi="ar"/>
        </w:rPr>
        <w:t>（四）促进作风改进。</w:t>
      </w:r>
      <w:r>
        <w:rPr>
          <w:rFonts w:cs="Times New Roman"/>
          <w:spacing w:val="15"/>
          <w:kern w:val="0"/>
          <w:szCs w:val="32"/>
          <w:lang w:bidi="ar"/>
        </w:rPr>
        <w:t>各部门要高度重视作风建设，持续推进作风革命和效能革命，牢固树立“不抓营商环境就是失职，抓不好营商环境就是不称职”理念，转作风提效率，结合</w:t>
      </w:r>
      <w:r>
        <w:rPr>
          <w:rFonts w:hint="eastAsia" w:cs="Times New Roman"/>
          <w:spacing w:val="15"/>
          <w:kern w:val="0"/>
          <w:szCs w:val="32"/>
          <w:lang w:bidi="ar"/>
        </w:rPr>
        <w:t>陇川县</w:t>
      </w:r>
      <w:r>
        <w:rPr>
          <w:rFonts w:cs="Times New Roman"/>
          <w:spacing w:val="15"/>
          <w:kern w:val="0"/>
          <w:szCs w:val="32"/>
          <w:lang w:bidi="ar"/>
        </w:rPr>
        <w:t>“当面见企业”等活动，全力打造放心、暖心、安心的营商环境。</w:t>
      </w:r>
    </w:p>
    <w:p>
      <w:pPr>
        <w:ind w:firstLine="880"/>
        <w:jc w:val="center"/>
        <w:rPr>
          <w:rFonts w:ascii="方正小标宋_GBK" w:hAnsi="方正小标宋_GBK" w:eastAsia="方正小标宋_GBK" w:cs="方正小标宋_GBK"/>
          <w:sz w:val="44"/>
          <w:szCs w:val="44"/>
        </w:rPr>
      </w:pPr>
    </w:p>
    <w:p>
      <w:pPr>
        <w:ind w:firstLine="640"/>
        <w:jc w:val="left"/>
        <w:rPr>
          <w:rFonts w:ascii="方正仿宋_GBK" w:hAnsi="方正仿宋_GBK" w:cs="方正仿宋_GBK"/>
          <w:szCs w:val="32"/>
        </w:rPr>
      </w:pPr>
    </w:p>
    <w:p>
      <w:pPr>
        <w:ind w:firstLine="640"/>
        <w:rPr>
          <w:rFonts w:hint="eastAsia"/>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B16"/>
    <w:rsid w:val="00283B94"/>
    <w:rsid w:val="00714B16"/>
    <w:rsid w:val="00F17492"/>
    <w:rsid w:val="47FF85A5"/>
    <w:rsid w:val="7BB2103C"/>
    <w:rsid w:val="7EFF5703"/>
    <w:rsid w:val="B3765EA5"/>
    <w:rsid w:val="B676B240"/>
    <w:rsid w:val="FFFD2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方正仿宋_GBK" w:cstheme="minorBidi"/>
      <w:kern w:val="2"/>
      <w:sz w:val="3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3">
    <w:name w:val="Normal Indent"/>
    <w:basedOn w:val="1"/>
    <w:next w:val="1"/>
    <w:qFormat/>
    <w:uiPriority w:val="0"/>
    <w:pPr>
      <w:spacing w:line="240" w:lineRule="auto"/>
      <w:ind w:firstLine="420"/>
    </w:pPr>
    <w:rPr>
      <w:rFonts w:asciiTheme="minorHAnsi" w:hAnsiTheme="minorHAnsi" w:eastAsiaTheme="minorEastAsia"/>
      <w:sz w:val="21"/>
      <w:szCs w:val="24"/>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line="240" w:lineRule="auto"/>
      <w:ind w:firstLine="0" w:firstLineChars="0"/>
      <w:jc w:val="left"/>
    </w:pPr>
    <w:rPr>
      <w:rFonts w:cs="Times New Roman" w:asciiTheme="minorHAnsi" w:hAnsiTheme="minorHAnsi" w:eastAsiaTheme="minorEastAsia"/>
      <w:kern w:val="0"/>
      <w:sz w:val="24"/>
      <w:szCs w:val="24"/>
    </w:rPr>
  </w:style>
  <w:style w:type="character" w:styleId="9">
    <w:name w:val="Strong"/>
    <w:basedOn w:val="8"/>
    <w:qFormat/>
    <w:uiPriority w:val="0"/>
    <w:rPr>
      <w:b/>
    </w:rPr>
  </w:style>
  <w:style w:type="paragraph" w:customStyle="1" w:styleId="10">
    <w:name w:val="无间隔1"/>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1472</Words>
  <Characters>8393</Characters>
  <Lines>69</Lines>
  <Paragraphs>19</Paragraphs>
  <TotalTime>1</TotalTime>
  <ScaleCrop>false</ScaleCrop>
  <LinksUpToDate>false</LinksUpToDate>
  <CharactersWithSpaces>9846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2023-11-07T17:54:00Z</dcterms:created>
  <dc:creator>吴毕文</dc:creator>
  <cp:lastModifiedBy>HY</cp:lastModifiedBy>
  <cp:lastPrinted>2023-11-09T03:05:00Z</cp:lastPrinted>
  <dcterms:modified xsi:type="dcterms:W3CDTF">2023-11-17T01:14:44Z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