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8804" w:tblpY="1319"/>
        <w:tblW w:w="0" w:type="auto"/>
        <w:tblInd w:w="0" w:type="dxa"/>
        <w:tblLayout w:type="fixed"/>
        <w:tblCellMar>
          <w:top w:w="0" w:type="dxa"/>
          <w:left w:w="108" w:type="dxa"/>
          <w:bottom w:w="0" w:type="dxa"/>
          <w:right w:w="108" w:type="dxa"/>
        </w:tblCellMar>
      </w:tblPr>
      <w:tblGrid>
        <w:gridCol w:w="1695"/>
      </w:tblGrid>
      <w:tr>
        <w:tblPrEx>
          <w:tblCellMar>
            <w:top w:w="0" w:type="dxa"/>
            <w:left w:w="108" w:type="dxa"/>
            <w:bottom w:w="0" w:type="dxa"/>
            <w:right w:w="108" w:type="dxa"/>
          </w:tblCellMar>
        </w:tblPrEx>
        <w:trPr>
          <w:wBefore w:w="0" w:type="dxa"/>
          <w:wAfter w:w="0" w:type="dxa"/>
          <w:trHeight w:val="481" w:hRule="atLeast"/>
        </w:trPr>
        <w:tc>
          <w:tcPr>
            <w:tcW w:w="1695" w:type="dxa"/>
            <w:noWrap w:val="0"/>
            <w:vAlign w:val="top"/>
          </w:tcPr>
          <w:p>
            <w:pPr>
              <w:rPr>
                <w:rFonts w:hint="eastAsia"/>
                <w:sz w:val="32"/>
                <w:szCs w:val="32"/>
              </w:rPr>
            </w:pPr>
            <w:r>
              <w:rPr>
                <w:rFonts w:hint="eastAsia"/>
                <w:sz w:val="32"/>
                <w:szCs w:val="32"/>
              </w:rPr>
              <w:t>NO.</w:t>
            </w:r>
            <w:bookmarkStart w:id="0" w:name="doc_mark"/>
            <w:r>
              <w:rPr>
                <w:rFonts w:hint="eastAsia"/>
                <w:sz w:val="32"/>
                <w:szCs w:val="32"/>
              </w:rPr>
              <w:t>351</w:t>
            </w:r>
            <w:bookmarkEnd w:id="0"/>
          </w:p>
        </w:tc>
      </w:tr>
    </w:tbl>
    <w:p>
      <w:r>
        <w:rPr>
          <w:lang/>
        </w:rPr>
        <w:pict>
          <v:shape id="艺术字 5" o:spid="_x0000_s1026" o:spt="136" type="#_x0000_t136" style="position:absolute;left:0pt;margin-left:63pt;margin-top:10.95pt;height:43.65pt;width:54pt;z-index:251663360;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shape id="_x0000_s1027" o:spid="_x0000_s1027" o:spt="136" type="#_x0000_t136" style="position:absolute;left:0pt;margin-left:-6pt;margin-top:7.8pt;height:46.8pt;width:456pt;z-index:251661312;mso-width-relative:page;mso-height-relative:page;" fillcolor="#FF0000" filled="t" stroked="f" coordsize="21600,21600">
            <v:path/>
            <v:fill on="t" focussize="0,0"/>
            <v:stroke on="f"/>
            <v:imagedata o:title=""/>
            <o:lock v:ext="edit"/>
            <v:textpath on="t" fitshape="t" fitpath="t" trim="t" xscale="f" string="德宏      自治州人民政府办公室" style="font-family:方正小标宋简体;font-size:28pt;v-rotate-letters:f;v-same-letter-heights:f;v-text-align:center;"/>
          </v:shape>
        </w:pict>
      </w:r>
    </w:p>
    <w:p/>
    <w:p/>
    <w:p>
      <w:pPr>
        <w:ind w:right="136" w:rightChars="65"/>
      </w:pPr>
      <w:r>
        <w:rPr>
          <w:lang/>
        </w:rPr>
        <w:pict>
          <v:shape id="_x0000_s1028" o:spid="_x0000_s1028" o:spt="136" type="#_x0000_t136" style="position:absolute;left:0pt;margin-left:-11.05pt;margin-top:13.05pt;height:2pt;width:468pt;z-index:251662336;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rPr>
          <w:rFonts w:hint="eastAsia"/>
        </w:rPr>
      </w:pPr>
    </w:p>
    <w:p>
      <w:pPr>
        <w:spacing w:line="440" w:lineRule="exact"/>
        <w:rPr>
          <w:rFonts w:hint="eastAsia"/>
        </w:rPr>
      </w:pPr>
    </w:p>
    <w:p>
      <w:pPr>
        <w:spacing w:line="720" w:lineRule="exact"/>
        <w:jc w:val="center"/>
        <w:rPr>
          <w:rFonts w:hint="eastAsia" w:ascii="方正小标宋_GBK" w:hAnsi="方正小标宋_GBK" w:eastAsia="方正小标宋_GBK" w:cs="方正小标宋_GBK"/>
          <w:sz w:val="44"/>
          <w:szCs w:val="44"/>
        </w:rPr>
      </w:pPr>
      <w:bookmarkStart w:id="1" w:name="Content"/>
      <w:bookmarkEnd w:id="1"/>
      <w:r>
        <w:rPr>
          <w:rFonts w:hint="eastAsia" w:ascii="方正小标宋_GBK" w:hAnsi="方正小标宋_GBK" w:eastAsia="方正小标宋_GBK" w:cs="方正小标宋_GBK"/>
          <w:sz w:val="44"/>
          <w:szCs w:val="44"/>
        </w:rPr>
        <w:t>德宏州人民政府办公室关于印发2021年</w:t>
      </w:r>
    </w:p>
    <w:p>
      <w:pPr>
        <w:spacing w:line="7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烟叶生产安排的意见</w:t>
      </w:r>
    </w:p>
    <w:p>
      <w:pPr>
        <w:spacing w:line="300" w:lineRule="exact"/>
        <w:rPr>
          <w:rFonts w:eastAsia="方正仿宋_GBK"/>
          <w:b/>
          <w:sz w:val="44"/>
          <w:szCs w:val="44"/>
        </w:rPr>
      </w:pPr>
    </w:p>
    <w:p>
      <w:pPr>
        <w:spacing w:line="560" w:lineRule="exact"/>
      </w:pPr>
      <w:r>
        <w:rPr>
          <w:rFonts w:eastAsia="方正仿宋_GBK"/>
          <w:sz w:val="32"/>
          <w:szCs w:val="32"/>
        </w:rPr>
        <w:t>各县市人民政府，州直有关单位：</w:t>
      </w:r>
    </w:p>
    <w:p>
      <w:pPr>
        <w:spacing w:line="560" w:lineRule="exact"/>
        <w:ind w:firstLine="640" w:firstLineChars="200"/>
        <w:rPr>
          <w:rFonts w:eastAsia="方正仿宋_GBK"/>
          <w:sz w:val="32"/>
          <w:szCs w:val="32"/>
        </w:rPr>
      </w:pPr>
      <w:r>
        <w:rPr>
          <w:rFonts w:eastAsia="方正仿宋_GBK"/>
          <w:sz w:val="32"/>
          <w:szCs w:val="32"/>
        </w:rPr>
        <w:t>为切实抓好全州烟叶生产工作，推进德宏烟草产业高质量发展，现就2021年烟叶生产提出</w:t>
      </w:r>
      <w:r>
        <w:rPr>
          <w:rFonts w:hint="eastAsia" w:eastAsia="方正仿宋_GBK"/>
          <w:sz w:val="32"/>
          <w:szCs w:val="32"/>
        </w:rPr>
        <w:t>以</w:t>
      </w:r>
      <w:r>
        <w:rPr>
          <w:rFonts w:eastAsia="方正仿宋_GBK"/>
          <w:sz w:val="32"/>
          <w:szCs w:val="32"/>
        </w:rPr>
        <w:t>下意见。</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spacing w:line="560" w:lineRule="exact"/>
        <w:ind w:firstLine="640" w:firstLineChars="200"/>
        <w:rPr>
          <w:rFonts w:eastAsia="方正仿宋_GBK"/>
          <w:sz w:val="32"/>
          <w:szCs w:val="32"/>
        </w:rPr>
      </w:pPr>
      <w:r>
        <w:rPr>
          <w:rFonts w:eastAsia="方正仿宋_GBK"/>
          <w:sz w:val="32"/>
          <w:szCs w:val="32"/>
        </w:rPr>
        <w:t>深入贯彻落实</w:t>
      </w:r>
      <w:r>
        <w:rPr>
          <w:rFonts w:hint="eastAsia" w:eastAsia="方正仿宋_GBK"/>
          <w:sz w:val="32"/>
          <w:szCs w:val="32"/>
        </w:rPr>
        <w:t>全国、全省烟叶会议精神，按照州委三年行动高质量发展要求，</w:t>
      </w:r>
      <w:r>
        <w:rPr>
          <w:rFonts w:eastAsia="方正仿宋_GBK"/>
          <w:sz w:val="32"/>
          <w:szCs w:val="32"/>
        </w:rPr>
        <w:t>围绕“做特烤烟、做精香料烟、做大晒黄烟、突破雪茄烟”的工作思路，以“市场、质量、绿色、生态、安全”为主线，</w:t>
      </w:r>
      <w:r>
        <w:rPr>
          <w:rFonts w:hint="eastAsia" w:eastAsia="方正仿宋_GBK"/>
          <w:sz w:val="32"/>
          <w:szCs w:val="32"/>
        </w:rPr>
        <w:t>着力在推进烟叶生产提质增效和特色开发两个方面下功夫，不断提升德宏烟叶的竞争力和影响力</w:t>
      </w:r>
      <w:r>
        <w:rPr>
          <w:rFonts w:eastAsia="方正仿宋_GBK"/>
          <w:sz w:val="32"/>
          <w:szCs w:val="32"/>
        </w:rPr>
        <w:t>。</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二、目标任务</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（一）生产收购任务</w:t>
      </w:r>
    </w:p>
    <w:p>
      <w:pPr>
        <w:spacing w:line="560" w:lineRule="exact"/>
        <w:ind w:firstLine="640" w:firstLineChars="200"/>
        <w:rPr>
          <w:rFonts w:eastAsia="方正仿宋_GBK"/>
          <w:sz w:val="32"/>
          <w:szCs w:val="32"/>
        </w:rPr>
      </w:pPr>
      <w:r>
        <w:rPr>
          <w:rFonts w:eastAsia="方正仿宋_GBK"/>
          <w:sz w:val="32"/>
          <w:szCs w:val="32"/>
        </w:rPr>
        <w:t>2021年全州种植面积16.55万亩（其中：烤烟14.07万亩，香料烟0.95万亩，晒黄烟1.53万亩）；指令性收购烟叶47.1万担（烤烟38.0万担，香料烟3.0万担，晒黄烟6.1万担）。各县市考核目标任务分别为：芒市种植烤烟面积4.86万亩，指令性收购烟叶13.13万担（其中：KRK26品种收购量不低于6.88万担）；梁河县种植烤烟面积4.44万亩，指令性收购烟叶12.0万担（KRK26品种收购量不低于7.45万担）；盈江县种植面积2.27万亩（烤烟0.74万亩，晒黄烟1.53万亩），指令性收购烟叶8.1万担（烤烟2.0万担，全部为KRK26品种；晒黄烟6.1万担）；陇川县种植面积4.66万亩（烤烟4.03万亩，香料烟0.63万亩），指令性收购烟叶12.87万担（烤烟10.87万担，KRK26品种收购量不低于4.91万担，香料烟2.0万担）；瑞丽市种植香料烟面积0.32万亩，指令性收购烟叶1.0万担。</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（二）质量指标</w:t>
      </w:r>
    </w:p>
    <w:p>
      <w:pPr>
        <w:spacing w:line="560" w:lineRule="exact"/>
        <w:ind w:firstLine="640" w:firstLineChars="200"/>
        <w:rPr>
          <w:rFonts w:eastAsia="方正仿宋_GBK"/>
          <w:sz w:val="32"/>
          <w:szCs w:val="32"/>
        </w:rPr>
      </w:pPr>
      <w:r>
        <w:rPr>
          <w:rFonts w:eastAsia="方正仿宋_GBK"/>
          <w:sz w:val="32"/>
          <w:szCs w:val="32"/>
        </w:rPr>
        <w:t>烤  烟：上等烟比例65%以上，综合等级合格率75%以上，水分控制在16%</w:t>
      </w:r>
      <w:r>
        <w:rPr>
          <w:rFonts w:hint="eastAsia" w:eastAsia="方正仿宋_GBK"/>
          <w:sz w:val="32"/>
          <w:szCs w:val="32"/>
        </w:rPr>
        <w:t>—</w:t>
      </w:r>
      <w:r>
        <w:rPr>
          <w:rFonts w:eastAsia="方正仿宋_GBK"/>
          <w:sz w:val="32"/>
          <w:szCs w:val="32"/>
        </w:rPr>
        <w:t>17%。</w:t>
      </w:r>
    </w:p>
    <w:p>
      <w:pPr>
        <w:spacing w:line="560" w:lineRule="exact"/>
        <w:ind w:firstLine="640" w:firstLineChars="200"/>
        <w:rPr>
          <w:rFonts w:eastAsia="方正仿宋_GBK"/>
          <w:sz w:val="32"/>
          <w:szCs w:val="32"/>
        </w:rPr>
      </w:pPr>
      <w:r>
        <w:rPr>
          <w:rFonts w:eastAsia="方正仿宋_GBK"/>
          <w:sz w:val="32"/>
          <w:szCs w:val="32"/>
        </w:rPr>
        <w:t>香料烟：质检入库AB级比例55%以上，等级合格率80%以上，水分控制在14%</w:t>
      </w:r>
      <w:r>
        <w:rPr>
          <w:rFonts w:hint="eastAsia" w:eastAsia="方正仿宋_GBK"/>
          <w:sz w:val="32"/>
          <w:szCs w:val="32"/>
        </w:rPr>
        <w:t>—</w:t>
      </w:r>
      <w:r>
        <w:rPr>
          <w:rFonts w:eastAsia="方正仿宋_GBK"/>
          <w:sz w:val="32"/>
          <w:szCs w:val="32"/>
        </w:rPr>
        <w:t>16%。</w:t>
      </w:r>
    </w:p>
    <w:p>
      <w:pPr>
        <w:spacing w:line="560" w:lineRule="exact"/>
        <w:ind w:firstLine="640" w:firstLineChars="200"/>
        <w:rPr>
          <w:rFonts w:eastAsia="方正仿宋_GBK"/>
          <w:sz w:val="32"/>
          <w:szCs w:val="32"/>
        </w:rPr>
      </w:pPr>
      <w:r>
        <w:rPr>
          <w:rFonts w:eastAsia="方正仿宋_GBK"/>
          <w:sz w:val="32"/>
          <w:szCs w:val="32"/>
        </w:rPr>
        <w:t>晒黄烟：中上等烟比例85%以上，等级合格率75%以上，水分控制在16%</w:t>
      </w:r>
      <w:r>
        <w:rPr>
          <w:rFonts w:hint="eastAsia" w:eastAsia="方正仿宋_GBK"/>
          <w:sz w:val="32"/>
          <w:szCs w:val="32"/>
        </w:rPr>
        <w:t>—</w:t>
      </w:r>
      <w:r>
        <w:rPr>
          <w:rFonts w:eastAsia="方正仿宋_GBK"/>
          <w:sz w:val="32"/>
          <w:szCs w:val="32"/>
        </w:rPr>
        <w:t>17%。</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（三）安全指标</w:t>
      </w:r>
    </w:p>
    <w:p>
      <w:pPr>
        <w:spacing w:line="560" w:lineRule="exact"/>
        <w:ind w:firstLine="640" w:firstLineChars="200"/>
        <w:rPr>
          <w:rFonts w:eastAsia="方正仿宋_GBK"/>
          <w:sz w:val="32"/>
          <w:szCs w:val="32"/>
        </w:rPr>
      </w:pPr>
      <w:r>
        <w:rPr>
          <w:rFonts w:eastAsia="方正仿宋_GBK"/>
          <w:sz w:val="32"/>
          <w:szCs w:val="32"/>
        </w:rPr>
        <w:t>烟叶中各种农药残留量和重金属含量不超标，达到客户限量标准要求，杜绝一类非烟草杂质。</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三、主要政策</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（一）政府扶持政策</w:t>
      </w:r>
    </w:p>
    <w:p>
      <w:pPr>
        <w:spacing w:line="560" w:lineRule="exact"/>
        <w:ind w:firstLine="640" w:firstLineChars="200"/>
        <w:rPr>
          <w:rFonts w:eastAsia="方正仿宋_GBK"/>
          <w:sz w:val="32"/>
          <w:szCs w:val="32"/>
        </w:rPr>
      </w:pPr>
      <w:r>
        <w:rPr>
          <w:rFonts w:eastAsia="方正仿宋_GBK"/>
          <w:sz w:val="32"/>
          <w:szCs w:val="32"/>
        </w:rPr>
        <w:t>1.香料烟育苗补贴：州财政按照20元/亩的标准安排香料烟育苗补贴，县市财政按照不低于20元/亩的标准给予补助。重点用于香料烟集中育苗场地租赁、育苗物资购置、育预备苗等方面补助。</w:t>
      </w:r>
    </w:p>
    <w:p>
      <w:pPr>
        <w:spacing w:line="560" w:lineRule="exact"/>
        <w:ind w:firstLine="640" w:firstLineChars="200"/>
        <w:rPr>
          <w:rFonts w:eastAsia="方正仿宋_GBK"/>
          <w:sz w:val="32"/>
          <w:szCs w:val="32"/>
        </w:rPr>
      </w:pPr>
      <w:r>
        <w:rPr>
          <w:rFonts w:eastAsia="方正仿宋_GBK"/>
          <w:sz w:val="32"/>
          <w:szCs w:val="32"/>
        </w:rPr>
        <w:t>2.烟区规划、面积落实补贴：州财政按照15元/亩的标准安排烟区规划和面积落实补贴，县市财政按照不低于15元/亩的标准给予配套补助。重点用于开展核心烟区规划、面积落实、土地流转等方面的补贴，其中州级补助全额用于对乡村组面积落实及种植大户面积流转补助。具体补贴方案由县市制定。</w:t>
      </w:r>
    </w:p>
    <w:p>
      <w:pPr>
        <w:spacing w:line="560" w:lineRule="exact"/>
        <w:ind w:firstLine="640" w:firstLineChars="200"/>
        <w:rPr>
          <w:rFonts w:eastAsia="方正仿宋_GBK"/>
          <w:sz w:val="32"/>
          <w:szCs w:val="32"/>
        </w:rPr>
      </w:pPr>
      <w:r>
        <w:rPr>
          <w:rFonts w:eastAsia="方正仿宋_GBK"/>
          <w:sz w:val="32"/>
          <w:szCs w:val="32"/>
        </w:rPr>
        <w:t>3.烟区基础设施建设维修补助：州财政按照10元/亩的标准安排烟区基础设施建设补助；各县市从上年度烟叶税中提取不低于3%的资金，主要用于烟区零星烟水烟路工程、烤房附属设施等基础设施的建设维修。香料烟公司要积极争取烟草行业对烟叶生产基础设施项目修复补贴资金，持续巩固烟区烟叶生产基础条件。</w:t>
      </w:r>
    </w:p>
    <w:p>
      <w:pPr>
        <w:spacing w:line="560" w:lineRule="exact"/>
        <w:ind w:firstLine="640" w:firstLineChars="200"/>
        <w:rPr>
          <w:rFonts w:eastAsia="方正仿宋_GBK"/>
          <w:sz w:val="32"/>
          <w:szCs w:val="32"/>
        </w:rPr>
      </w:pPr>
      <w:r>
        <w:rPr>
          <w:rFonts w:eastAsia="方正仿宋_GBK"/>
          <w:sz w:val="32"/>
          <w:szCs w:val="32"/>
        </w:rPr>
        <w:t>4.烤房建设补贴。烤房建设由各县市负责，除烟草部门补贴外，州财政按照0.55万元/座的标准给予补助，不足部分由县市负责。</w:t>
      </w:r>
    </w:p>
    <w:p>
      <w:pPr>
        <w:spacing w:line="560" w:lineRule="exact"/>
        <w:ind w:firstLine="640" w:firstLineChars="200"/>
        <w:rPr>
          <w:rFonts w:eastAsia="方正仿宋_GBK"/>
          <w:sz w:val="32"/>
          <w:szCs w:val="32"/>
        </w:rPr>
      </w:pPr>
      <w:r>
        <w:rPr>
          <w:rFonts w:eastAsia="方正仿宋_GBK"/>
          <w:sz w:val="32"/>
          <w:szCs w:val="32"/>
        </w:rPr>
        <w:t>5.雪茄烟开发补贴。由州财政安排补贴资金130万元，其中：芒市45万元，瑞丽</w:t>
      </w:r>
      <w:r>
        <w:rPr>
          <w:rFonts w:hint="eastAsia" w:eastAsia="方正仿宋_GBK"/>
          <w:sz w:val="32"/>
          <w:szCs w:val="32"/>
        </w:rPr>
        <w:t>市</w:t>
      </w:r>
      <w:r>
        <w:rPr>
          <w:rFonts w:eastAsia="方正仿宋_GBK"/>
          <w:sz w:val="32"/>
          <w:szCs w:val="32"/>
        </w:rPr>
        <w:t>85万元。芒市按45万元配套，瑞丽市按85万元配套。重点用于雪茄烟开发土地流转补贴，连续补贴</w:t>
      </w:r>
      <w:r>
        <w:rPr>
          <w:rFonts w:hint="eastAsia" w:eastAsia="方正仿宋_GBK"/>
          <w:sz w:val="32"/>
          <w:szCs w:val="32"/>
        </w:rPr>
        <w:t>2</w:t>
      </w:r>
      <w:r>
        <w:rPr>
          <w:rFonts w:eastAsia="方正仿宋_GBK"/>
          <w:sz w:val="32"/>
          <w:szCs w:val="32"/>
        </w:rPr>
        <w:t>年。</w:t>
      </w:r>
    </w:p>
    <w:p>
      <w:pPr>
        <w:spacing w:line="560" w:lineRule="exact"/>
        <w:ind w:firstLine="640" w:firstLineChars="200"/>
        <w:rPr>
          <w:rFonts w:eastAsia="方正仿宋_GBK"/>
          <w:sz w:val="32"/>
          <w:szCs w:val="32"/>
        </w:rPr>
      </w:pPr>
      <w:r>
        <w:rPr>
          <w:rFonts w:eastAsia="方正仿宋_GBK"/>
          <w:sz w:val="32"/>
          <w:szCs w:val="32"/>
        </w:rPr>
        <w:t>6.强化保障措施：州财政安排防雹工作经费20万元，各县市财政按每个防雹点不低于5万元安排防雹保障经费。</w:t>
      </w:r>
    </w:p>
    <w:p>
      <w:pPr>
        <w:spacing w:line="560" w:lineRule="exact"/>
        <w:ind w:firstLine="640" w:firstLineChars="200"/>
        <w:rPr>
          <w:rFonts w:eastAsia="方正仿宋_GBK"/>
          <w:sz w:val="32"/>
          <w:szCs w:val="32"/>
        </w:rPr>
      </w:pPr>
      <w:r>
        <w:rPr>
          <w:rFonts w:eastAsia="方正仿宋_GBK"/>
          <w:sz w:val="32"/>
          <w:szCs w:val="32"/>
        </w:rPr>
        <w:t>7.烟叶生产发展基金：州财政安排烟叶生产发展基金20万元，重点用于州级部门开展烟叶生产试验示范、新型农机具引进推广、烟叶生产组织模式创新等项目；各县市财政按照不低于10元/亩的标准安排烟叶生产发展基金，重点用于土地流转、区域试验示范推广、农机具引进、改良推广、调研、咨询、培训、烟叶生产督导检查等有利于烟草产业发展的项目。</w:t>
      </w:r>
    </w:p>
    <w:p>
      <w:pPr>
        <w:spacing w:line="560" w:lineRule="exact"/>
        <w:ind w:firstLine="640" w:firstLineChars="200"/>
        <w:rPr>
          <w:rFonts w:eastAsia="方正仿宋_GBK"/>
          <w:sz w:val="32"/>
          <w:szCs w:val="32"/>
        </w:rPr>
      </w:pPr>
      <w:r>
        <w:rPr>
          <w:rFonts w:eastAsia="方正仿宋_GBK"/>
          <w:sz w:val="32"/>
          <w:szCs w:val="32"/>
        </w:rPr>
        <w:t>8.自然灾害保险：全州统一按70元/亩投保，其中：省财政补贴5元/亩；香料烟公司补贴50元/亩；烤烟、晒黄烟由烟农自筹15元/亩，香料烟由州、县市财政各补贴7.5元/亩。</w:t>
      </w:r>
    </w:p>
    <w:p>
      <w:pPr>
        <w:spacing w:line="560" w:lineRule="exact"/>
        <w:ind w:firstLine="640" w:firstLineChars="200"/>
        <w:rPr>
          <w:rFonts w:eastAsia="方正仿宋_GBK"/>
          <w:sz w:val="32"/>
          <w:szCs w:val="32"/>
        </w:rPr>
      </w:pPr>
      <w:r>
        <w:rPr>
          <w:rFonts w:eastAsia="方正仿宋_GBK"/>
          <w:sz w:val="32"/>
          <w:szCs w:val="32"/>
        </w:rPr>
        <w:t>9.自然灾害应急处置经费：州财政安排100万元自然灾害应急处置经费，重点用于烟叶生产中出现干旱、洪涝、冰雹、大风、病虫害等自然灾害的应急处置。</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（二）香料烟公司扶持政策</w:t>
      </w:r>
    </w:p>
    <w:p>
      <w:pPr>
        <w:spacing w:line="560" w:lineRule="exact"/>
        <w:ind w:firstLine="640" w:firstLineChars="200"/>
        <w:rPr>
          <w:rFonts w:eastAsia="方正仿宋_GBK"/>
          <w:sz w:val="32"/>
          <w:szCs w:val="32"/>
        </w:rPr>
      </w:pPr>
      <w:r>
        <w:rPr>
          <w:rFonts w:eastAsia="方正仿宋_GBK"/>
          <w:sz w:val="32"/>
          <w:szCs w:val="32"/>
        </w:rPr>
        <w:t>1.严格执行行业2021年烟叶种植收购政策，按下达计划任务收购烟叶。</w:t>
      </w:r>
    </w:p>
    <w:p>
      <w:pPr>
        <w:spacing w:line="560" w:lineRule="exact"/>
        <w:ind w:firstLine="640" w:firstLineChars="200"/>
        <w:rPr>
          <w:rFonts w:eastAsia="方正仿宋_GBK"/>
          <w:sz w:val="32"/>
          <w:szCs w:val="32"/>
        </w:rPr>
      </w:pPr>
      <w:r>
        <w:rPr>
          <w:rFonts w:eastAsia="方正仿宋_GBK"/>
          <w:sz w:val="32"/>
          <w:szCs w:val="32"/>
        </w:rPr>
        <w:t>2.烟叶生产产前投入补贴标准按照晾晒烟不超过74元/担、烤烟不超过130元/担（含烤烟专业化分级散叶收购补贴）计划，具体标准按照云南省烟草专卖局（公司）</w:t>
      </w:r>
      <w:r>
        <w:rPr>
          <w:rFonts w:hint="eastAsia" w:eastAsia="方正仿宋_GBK"/>
          <w:sz w:val="32"/>
          <w:szCs w:val="32"/>
        </w:rPr>
        <w:t>有</w:t>
      </w:r>
      <w:r>
        <w:rPr>
          <w:rFonts w:eastAsia="方正仿宋_GBK"/>
          <w:sz w:val="32"/>
          <w:szCs w:val="32"/>
        </w:rPr>
        <w:t>关政策文件执行。</w:t>
      </w:r>
    </w:p>
    <w:p>
      <w:pPr>
        <w:spacing w:line="540" w:lineRule="exact"/>
        <w:ind w:firstLine="640" w:firstLineChars="200"/>
        <w:rPr>
          <w:rFonts w:eastAsia="方正仿宋_GBK"/>
          <w:sz w:val="32"/>
          <w:szCs w:val="32"/>
        </w:rPr>
      </w:pPr>
      <w:r>
        <w:rPr>
          <w:rFonts w:eastAsia="方正仿宋_GBK"/>
          <w:sz w:val="32"/>
          <w:szCs w:val="32"/>
        </w:rPr>
        <w:t>3</w:t>
      </w:r>
      <w:bookmarkStart w:id="2" w:name="OLE_LINK1"/>
      <w:r>
        <w:rPr>
          <w:rFonts w:eastAsia="方正仿宋_GBK"/>
          <w:sz w:val="32"/>
          <w:szCs w:val="32"/>
        </w:rPr>
        <w:t>.</w:t>
      </w:r>
      <w:bookmarkEnd w:id="2"/>
      <w:r>
        <w:rPr>
          <w:rFonts w:eastAsia="方正仿宋_GBK"/>
          <w:sz w:val="32"/>
          <w:szCs w:val="32"/>
        </w:rPr>
        <w:t>烟叶生产基础设施项目补贴严格执行烟草行业年度补贴政策。2021年，预算投入补贴资金2649.99万元，其中：76.00万元用于外置燃烧机购置补贴，429.60万元用于内置燃烧机购置补贴，823.40万元用于新建生物质燃烧烤房土建补贴，1180.80万元用于烟夹和编烟操作台购置补贴，137.35万元用于烟草农机具购置补贴，2.84万元用于育苗配套设备补贴，具体项目及补贴资金以云南省烟草专卖局（公司）批复执行。</w:t>
      </w:r>
    </w:p>
    <w:p>
      <w:pPr>
        <w:spacing w:line="540" w:lineRule="exact"/>
        <w:ind w:firstLine="640" w:firstLineChars="200"/>
        <w:rPr>
          <w:rFonts w:eastAsia="方正仿宋_GBK"/>
          <w:sz w:val="32"/>
          <w:szCs w:val="32"/>
        </w:rPr>
      </w:pPr>
      <w:r>
        <w:rPr>
          <w:rFonts w:eastAsia="方正仿宋_GBK"/>
          <w:sz w:val="32"/>
          <w:szCs w:val="32"/>
        </w:rPr>
        <w:t>4.雪茄烟开发补贴：由香料烟公司按照雪茄烟开发项目实际需求进行配套。</w:t>
      </w:r>
    </w:p>
    <w:p>
      <w:pPr>
        <w:spacing w:line="540" w:lineRule="exact"/>
        <w:ind w:firstLine="640" w:firstLineChars="200"/>
        <w:rPr>
          <w:rFonts w:eastAsia="方正仿宋_GBK"/>
          <w:sz w:val="32"/>
          <w:szCs w:val="32"/>
        </w:rPr>
      </w:pPr>
      <w:r>
        <w:rPr>
          <w:rFonts w:eastAsia="方正仿宋_GBK"/>
          <w:sz w:val="32"/>
          <w:szCs w:val="32"/>
        </w:rPr>
        <w:t>若国家烟草专卖局和云南省烟草专卖局（公司）在生产投入政策方面有新调整，香料烟公司政策按新规定执行。</w:t>
      </w:r>
    </w:p>
    <w:p>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四、主要措施</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rPr>
        <w:t>（一）坚持稳控规模，坚守计划红线。</w:t>
      </w:r>
      <w:r>
        <w:rPr>
          <w:rFonts w:eastAsia="方正仿宋_GBK"/>
          <w:sz w:val="32"/>
          <w:szCs w:val="32"/>
          <w:lang w:val="zh-CN"/>
        </w:rPr>
        <w:t>各县市、</w:t>
      </w:r>
      <w:r>
        <w:rPr>
          <w:rFonts w:hint="eastAsia" w:eastAsia="方正仿宋_GBK"/>
          <w:sz w:val="32"/>
          <w:szCs w:val="32"/>
          <w:lang w:val="zh-CN"/>
        </w:rPr>
        <w:t>州直</w:t>
      </w:r>
      <w:r>
        <w:rPr>
          <w:rFonts w:eastAsia="方正仿宋_GBK"/>
          <w:sz w:val="32"/>
          <w:szCs w:val="32"/>
          <w:lang w:val="zh-CN"/>
        </w:rPr>
        <w:t>有关单位要准确把握和适应烟叶生产发展新常态，坚持把“控总量、守红线、降库存”作为烟叶工作的首要任务，主动把工作重心转移到稳控规模、提质增效、推进高质量发展上来。要</w:t>
      </w:r>
      <w:r>
        <w:rPr>
          <w:rFonts w:eastAsia="方正仿宋_GBK"/>
          <w:sz w:val="32"/>
          <w:szCs w:val="32"/>
        </w:rPr>
        <w:t>科学评估近年来种植水平、烘烤水平、灾害损失等实际情况，实施定向调控，确保株数足、面积实，坚决杜绝多报少种、少报多种现象发生，切实提高计划含金量。</w:t>
      </w:r>
      <w:r>
        <w:rPr>
          <w:rFonts w:eastAsia="方正仿宋_GBK"/>
          <w:sz w:val="32"/>
          <w:szCs w:val="32"/>
          <w:lang w:val="zh-CN"/>
        </w:rPr>
        <w:t>严格按照下达计划层层分解任务</w:t>
      </w:r>
      <w:r>
        <w:rPr>
          <w:rFonts w:eastAsia="方正仿宋_GBK"/>
          <w:sz w:val="32"/>
          <w:szCs w:val="32"/>
        </w:rPr>
        <w:t>，</w:t>
      </w:r>
      <w:r>
        <w:rPr>
          <w:rFonts w:eastAsia="方正仿宋_GBK"/>
          <w:sz w:val="32"/>
          <w:szCs w:val="32"/>
          <w:lang w:val="zh-CN"/>
        </w:rPr>
        <w:t>将种植面积落实到乡镇、村组、农户、地块。规范合同管理，严格按照烟叶种植收购合同管理要求，规范合同签订流程，抓好合同签订工作，做到一户一签，严禁合同代签、代领、代保管和不发给烟农等不规范行为，做到“控得住、稳得住”。</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（二）</w:t>
      </w:r>
      <w:r>
        <w:rPr>
          <w:rFonts w:ascii="方正楷体_GBK" w:hAnsi="方正楷体_GBK" w:eastAsia="方正楷体_GBK" w:cs="方正楷体_GBK"/>
          <w:sz w:val="32"/>
          <w:szCs w:val="32"/>
          <w:lang w:val="zh-CN"/>
        </w:rPr>
        <w:t>稳定关键要素，打牢高质量发展基础。</w:t>
      </w:r>
      <w:r>
        <w:rPr>
          <w:rFonts w:eastAsia="方正仿宋_GBK"/>
          <w:sz w:val="32"/>
          <w:szCs w:val="32"/>
          <w:lang w:val="zh-CN"/>
        </w:rPr>
        <w:t>要着力做好烟区规划工作。按照“生产条件优、烟叶特色显、工业需求旺、烟农效益好、烟区稳定”的原则，巩固已规划的40万亩烤烟种植区域，积极开展晾晒烟种植区域规划工作，规划区域16万亩左右，确保烟叶种植核心区占75%。各县市要提高烟区规划对稳定核心优质烟区重要性的认识，主动作为，清晰划定界限、做好显著标识，将基本烟田建设纳入全州高标准农田建设规划，建立和完善基本烟田保护制度，加大政策保障力度，将烟叶生产基础设施建设项目向核心烟区倾斜。引导扶持专业合作社和种植大户规模化、长期流转土地种植烟叶，在核心烟区创新土地互换、土地出租、土地入股、土地托管等土地流转模式。鼓励种植大户、龙头企业、合作社等开展适度规模经营，探索“烟叶+”以烟为主的生产模式，促进烟区稳定。着力培育认定一批懂技术、善管理、会经营，种植面积长期稳定在10亩以上</w:t>
      </w:r>
      <w:r>
        <w:rPr>
          <w:rFonts w:hint="eastAsia" w:eastAsia="方正仿宋_GBK"/>
          <w:sz w:val="32"/>
          <w:szCs w:val="32"/>
          <w:lang w:val="zh-CN"/>
        </w:rPr>
        <w:t>的核心</w:t>
      </w:r>
      <w:r>
        <w:rPr>
          <w:rFonts w:eastAsia="方正仿宋_GBK"/>
          <w:sz w:val="32"/>
          <w:szCs w:val="32"/>
          <w:lang w:val="zh-CN"/>
        </w:rPr>
        <w:t>烟农。</w:t>
      </w:r>
    </w:p>
    <w:p>
      <w:pPr>
        <w:spacing w:line="540"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val="zh-CN"/>
        </w:rPr>
        <w:t>（三）</w:t>
      </w:r>
      <w:r>
        <w:rPr>
          <w:rFonts w:ascii="方正楷体_GBK" w:hAnsi="方正楷体_GBK" w:eastAsia="方正楷体_GBK" w:cs="方正楷体_GBK"/>
          <w:sz w:val="32"/>
          <w:szCs w:val="32"/>
          <w:lang w:val="zh-CN"/>
        </w:rPr>
        <w:t>狠抓烟叶质量，提升烟叶原料有效供给能力。</w:t>
      </w:r>
      <w:r>
        <w:rPr>
          <w:rFonts w:eastAsia="方正仿宋_GBK"/>
          <w:sz w:val="32"/>
          <w:szCs w:val="32"/>
          <w:lang w:val="zh-CN"/>
        </w:rPr>
        <w:t>以市场需求为导向，紧紧围绕“生态决定特色、品种彰显特色、技术支撑特色”的总体要求，推动烟叶生产高质量发展。一是择优布局。科学统筹品种布局、区域布局，杜绝“遍地撒网”分散种植，强调自然资源与烟叶品质的融合，逐步淘汰烟叶质量较差的区域，精选“好田、好地、能人”种烟；在烤烟KRK26特色品种的布局上，要持续巩固梁河县勐养、芒东烟区，芒市遮放烟区，陇川县景罕、城子烟区和盈江县烟区，逐步开发陇川县章凤烟区，适度扩大种植规模，着力在烟叶质量提升方面下功夫。二是推进适度规模种植。以建设“千亩村、万担乡”为抓手，单元化、区域化、品牌化整体推进，巩固提升连片种植规模，促进标准化生产技术和先进生产组织模式的推广。三是</w:t>
      </w:r>
      <w:r>
        <w:rPr>
          <w:rFonts w:eastAsia="方正仿宋_GBK"/>
          <w:sz w:val="32"/>
          <w:szCs w:val="32"/>
        </w:rPr>
        <w:t>抓实技术措施落实。各级各部门要把落实烟叶生产技术标准，提高烟叶质量作为烟叶生产的生命线抓好抓实，</w:t>
      </w:r>
      <w:r>
        <w:rPr>
          <w:rFonts w:eastAsia="方正仿宋_GBK"/>
          <w:sz w:val="32"/>
          <w:szCs w:val="32"/>
          <w:lang w:val="zh-CN"/>
        </w:rPr>
        <w:t>重点</w:t>
      </w:r>
      <w:r>
        <w:rPr>
          <w:rFonts w:eastAsia="方正仿宋_GBK"/>
          <w:sz w:val="32"/>
          <w:szCs w:val="32"/>
        </w:rPr>
        <w:t>抓好烟区布局、生产节令、规范移栽、大田管理、优化结构、成熟采收、科学烘烤（调制）、堆捂醇化等关键技术措施的落实。</w:t>
      </w:r>
      <w:r>
        <w:rPr>
          <w:rFonts w:eastAsia="方正仿宋_GBK"/>
          <w:sz w:val="32"/>
          <w:szCs w:val="32"/>
          <w:lang w:val="zh-CN"/>
        </w:rPr>
        <w:t>四是</w:t>
      </w:r>
      <w:r>
        <w:rPr>
          <w:rFonts w:eastAsia="方正仿宋_GBK"/>
          <w:sz w:val="32"/>
          <w:szCs w:val="32"/>
        </w:rPr>
        <w:t>持续推进工商合作。要加强与工业企业的沟通联系，充分听取工业企业的反馈意见，将工业需求转化为具体的生产管理措施。提高烟叶收购等级纯度和等级合格率，为实现工商顺利交接打牢基础；要选择有代表性的烟农，对其农事操作进行跟踪，对农户种植烟叶质量变化进行追溯，为进一步完善卷烟品牌质量需求的生产技术提供科学依据。</w:t>
      </w:r>
      <w:r>
        <w:rPr>
          <w:rFonts w:eastAsia="方正仿宋_GBK"/>
          <w:sz w:val="32"/>
          <w:szCs w:val="32"/>
          <w:lang w:val="zh-CN"/>
        </w:rPr>
        <w:t>五是</w:t>
      </w:r>
      <w:r>
        <w:rPr>
          <w:rFonts w:eastAsia="方正仿宋_GBK"/>
          <w:sz w:val="32"/>
          <w:szCs w:val="32"/>
        </w:rPr>
        <w:t>加大培训力度，全面提升烟农生产水平和烟叶质量，</w:t>
      </w:r>
      <w:r>
        <w:rPr>
          <w:rFonts w:eastAsia="方正仿宋_GBK"/>
          <w:sz w:val="32"/>
          <w:szCs w:val="32"/>
          <w:lang w:val="zh-CN"/>
        </w:rPr>
        <w:t>做到</w:t>
      </w:r>
      <w:r>
        <w:rPr>
          <w:rFonts w:eastAsia="方正仿宋_GBK"/>
          <w:sz w:val="32"/>
          <w:szCs w:val="32"/>
        </w:rPr>
        <w:t>以质量赢得市场、以质量赢得客户、以质量稳定收入、以质量推动发展。</w:t>
      </w:r>
    </w:p>
    <w:p>
      <w:pPr>
        <w:spacing w:line="540"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val="zh-CN"/>
        </w:rPr>
        <w:t>（四）坚持特色发展，持续提升德宏烟叶品牌影响力。</w:t>
      </w:r>
      <w:r>
        <w:rPr>
          <w:rFonts w:eastAsia="方正仿宋_GBK"/>
          <w:sz w:val="32"/>
          <w:szCs w:val="32"/>
        </w:rPr>
        <w:t>聚焦烟叶品种特色化、多元化。</w:t>
      </w:r>
      <w:r>
        <w:rPr>
          <w:rFonts w:eastAsia="方正仿宋_GBK"/>
          <w:sz w:val="32"/>
          <w:szCs w:val="32"/>
          <w:lang w:val="zh-CN"/>
        </w:rPr>
        <w:t>一是</w:t>
      </w:r>
      <w:r>
        <w:rPr>
          <w:rFonts w:eastAsia="方正仿宋_GBK"/>
          <w:sz w:val="32"/>
          <w:szCs w:val="32"/>
        </w:rPr>
        <w:t>打造以KRK26为核心的烤烟特色品牌。通过认真分析德宏KRK26烟叶内在质量和感官质量适配性，全面解析烟叶质量存在的不足，最终还原成生产技术措施，努力种出品质优、特色明显的工业需求烟叶。逐步试验示范推广种植其它特色品种替代云烟87，拓宽特色烟叶开发渠道、提升特色烟叶发展规模。</w:t>
      </w:r>
      <w:r>
        <w:rPr>
          <w:rFonts w:eastAsia="方正仿宋_GBK"/>
          <w:sz w:val="32"/>
          <w:szCs w:val="32"/>
          <w:lang w:val="zh-CN"/>
        </w:rPr>
        <w:t>二是</w:t>
      </w:r>
      <w:r>
        <w:rPr>
          <w:rFonts w:eastAsia="方正仿宋_GBK"/>
          <w:sz w:val="32"/>
          <w:szCs w:val="32"/>
        </w:rPr>
        <w:t>打造以晒黄烟为核心的晾晒烟特色品牌。德宏晒黄烟品质好，在卷烟配方中能很好地起到降焦减害、丰富香气的作用，与烤烟配伍性强，市场前景好，发展潜力大，要通过加大市场拓展力度，努力把晒黄烟打造成为德宏又一个烟叶特色品牌。</w:t>
      </w:r>
      <w:r>
        <w:rPr>
          <w:rFonts w:eastAsia="方正仿宋_GBK"/>
          <w:sz w:val="32"/>
          <w:szCs w:val="32"/>
          <w:lang w:val="zh-CN"/>
        </w:rPr>
        <w:t>三是</w:t>
      </w:r>
      <w:r>
        <w:rPr>
          <w:rFonts w:eastAsia="方正仿宋_GBK"/>
          <w:sz w:val="32"/>
          <w:szCs w:val="32"/>
        </w:rPr>
        <w:t>加大雪茄烟开发力度，选择芒市、瑞丽作为优质雪茄烟规模化开发种植基地，稳步推进雪茄烟叶试种、示范和市场开拓，全力推进中式雪茄高端原料战略基地建设工作。</w:t>
      </w:r>
    </w:p>
    <w:p>
      <w:pPr>
        <w:spacing w:line="540"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val="zh-CN"/>
        </w:rPr>
        <w:t>（五）</w:t>
      </w:r>
      <w:r>
        <w:rPr>
          <w:rFonts w:ascii="方正楷体_GBK" w:hAnsi="方正楷体_GBK" w:eastAsia="方正楷体_GBK" w:cs="方正楷体_GBK"/>
          <w:sz w:val="32"/>
          <w:szCs w:val="32"/>
          <w:lang w:val="zh-CN"/>
        </w:rPr>
        <w:t>推动科技创新，切实增强烟叶生产发展动力。</w:t>
      </w:r>
      <w:r>
        <w:rPr>
          <w:rFonts w:eastAsia="方正仿宋_GBK"/>
          <w:sz w:val="32"/>
          <w:szCs w:val="32"/>
        </w:rPr>
        <w:t>广泛开展试验示范，不断完善德宏烟区烟叶生产标准化技术体系，努力推动烟叶生产科研布局“一盘棋”、技术服务“一条龙”、工商合作“一体化”，全面构建契合高质量烟叶发展需求、适应“绿色、生态、优质、安全”要求的技术体系。在雪茄烟开发工作上以“开发高端特色雪茄原料、打造中式雪茄领军品牌”为目标，邀请工业企业全方位、全过程深度参与雪茄烟叶种植开发，及时跟进烟叶质量评价，确保雪茄烟叶能用、适用、好用。加快推进烟叶生产“土壤保育、绿色植保、绿色能源”三个转型，加大机械化作业、营养调控、烘烤（调制）提质等核心技术引进推广力度，加快绿色科技成果转化应用，加大烟田轮作、品种优化、水肥调配等技术推广。出台相应鼓励政策，加大晾晒烟进行专业化集中调制技术推广，提升烟叶调制质量。</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（六）</w:t>
      </w:r>
      <w:r>
        <w:rPr>
          <w:rFonts w:ascii="方正楷体_GBK" w:hAnsi="方正楷体_GBK" w:eastAsia="方正楷体_GBK" w:cs="方正楷体_GBK"/>
          <w:sz w:val="32"/>
          <w:szCs w:val="32"/>
          <w:lang w:val="zh-CN"/>
        </w:rPr>
        <w:t>推进绿色生产，保障烟叶产品安全。</w:t>
      </w:r>
      <w:r>
        <w:rPr>
          <w:rFonts w:eastAsia="方正仿宋_GBK"/>
          <w:sz w:val="32"/>
          <w:szCs w:val="32"/>
          <w:lang w:val="zh-CN"/>
        </w:rPr>
        <w:t>全力支持香料烟公司推行STP管理，在农残控制、非烟杂质控制、清洁能源应用、质量追溯等方面取得突破，以良好的产品质量和安全性赢得市场。农业部门要加大对高毒、高风险农药销售的监管力度，加强生产过程用药监管，严格执行用药审批制度，严防农残超标。要加强绿色防控，合理布置病虫害预测预报点，安排专人对主要病虫害发生情况调查，及时发布情况通报，为各烟区病虫害防治提供信息支撑；要推广蚜茧蜂、性诱剂等绿色防控和清洁生产技术，持续开展清洁能源烘烤、烤烟废弃地膜回收和农药包装废弃物清除回收等工作。</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（七）强化责任意识，提升服务烟农水平。</w:t>
      </w:r>
      <w:r>
        <w:rPr>
          <w:rFonts w:eastAsia="方正仿宋_GBK"/>
          <w:sz w:val="32"/>
          <w:szCs w:val="32"/>
          <w:lang w:val="zh-CN"/>
        </w:rPr>
        <w:t>要把全心全意服</w:t>
      </w:r>
      <w:r>
        <w:rPr>
          <w:sz w:val="32"/>
        </w:rPr>
        <w:pict>
          <v:rect id="KGD_5F882434$01$29$00013" o:spid="_x0000_s1029" o:spt="1" alt="gO9F+XjvWfiSTeGiHM/nwSdz7uNbS/9Rb7UgcSJomvcn8hf6mK+/ZWWVR+9XyLdarpUXCk+D+qsMoM4/JTbMyCFUqjGJJwIzuk+Yy2/9Ifx43iumPuOKX7A2k3dHGu8q8loc/V9dLb7jyaaNZEIYSvQUX8L+OWDACKO6OBSZzJPgYIRDFZ2RZZxYOCwR1qWzNpFPY/p0GGUraxQ3pl4BglVkYK1N34EleETDLT8IA82DTyIwh/l745VreUuk8s3Y9hkKPQ5jZmq8vKVL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LuyQlFf+E7jYHNaR2Q6TpNc2eEKg4u3UG5HpKvE5S9lwKd3eqxfBInnPTMxIjXDQYAXn2yrKEleorstd1sYKGCqpoTESUurQ9FNHxq/LME1sN5smH8rUXRh6GKBMaUyxgeov7vJSi526yOHPhv6b+09klglTgcg8d+n/EIdhLTfdQ3166rhNpm/ZBsOjrK7/JVMAQ/kf22YA2f49kgxipZgvrQZXCFDj8jMYMfvKaI08oe47KfQiBnrVZZQadA7yM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6.55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F882434$01$29$00012" o:spid="_x0000_s1030"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T5GwvxfeOEnwMYVY2AEWsShR4TMwh+OJ7A/ZLB0RZjKBhhNJfUe1hYyL/B9lhheQ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86.55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882434$01$29$00011" o:spid="_x0000_s1031" o:spt="1" alt="nwkOiId/bBbOAe61rgYT4vXM3UaFFF0tl2W9B2ekj1Z7kYnHXrUHbs1gN35c90qvKoZWfuFrTAHIyW0V140q3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P+KM8O2SK4R0q6VZK4sCeg9hMCGaNzF5QJ+Fi8kordxF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86.5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3"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4"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5"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7"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8"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9"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40"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1"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2"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3"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4"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5"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7"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8"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9"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50"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1"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2"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3"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4"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5"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7"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8"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9"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60"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1"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2"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3"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4"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5"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7"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8"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9"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70"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1"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3"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4"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5"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7"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8"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9"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1"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2" o:spt="1" alt="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3" o:spt="1" alt="lskY7P30+39SSS2ze3CC/M0/vMzErga1nRj3AHMB7kK9SjvjF+FdNn2SP6PWd50EBHh9x2qQ1ih4CWstKfp52Uh+PmGZcW4YeP/sa6/aAFrfNl01qcgnC6evBsmg6TPAtwwdmIPlz3AY0vAY20mEkpj6YZ5y2gKl2Jhsi48lUSX3mgaIHDcFWAnFgbTfS5SC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THJMyNGjJHhZbvarpx/N+ScE/Dd9qXj/71J5rgxFiiauvj/DlGXZgjusYK7n2F0WLQPmYZ9vAW+LaqoxBBOfoiKm/9Qx3yzU8l64AKz7wr7n/hrFEFUZoYuhQsFQc6bokT0iMAbBr9GQu8k4iwKLMTrl/3WLr44hn/O6iLVxu2b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eastAsia="方正仿宋_GBK"/>
          <w:sz w:val="32"/>
          <w:szCs w:val="32"/>
          <w:lang w:val="zh-CN"/>
        </w:rPr>
        <w:t>务烟农、保护烟农利益作为烟叶工作的出发点和落脚点，强化担当意识，要按照分类指导、分类管理、分类扶持的原则，认真研究土地流转、信贷支持、农业保险等方面的扶持政策，做好服务和指导；各级各部门要切实转变工作作风，想烟农之所想，急烟农之所急，变被动服务为主动服务，变粗放型服务为精细化服务，努力做到烟叶发展到哪里、跟踪服务就到哪里，切实做到领导、责任、措施、服务四到位，解决服务群众“最后一公里”的问题。</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（八）</w:t>
      </w:r>
      <w:r>
        <w:rPr>
          <w:rFonts w:ascii="方正楷体_GBK" w:hAnsi="方正楷体_GBK" w:eastAsia="方正楷体_GBK" w:cs="方正楷体_GBK"/>
          <w:sz w:val="32"/>
          <w:szCs w:val="32"/>
          <w:lang w:val="zh-CN"/>
        </w:rPr>
        <w:t>加快基础设施建设步伐，夯实烟叶生产基础。</w:t>
      </w:r>
      <w:r>
        <w:rPr>
          <w:rFonts w:eastAsia="方正仿宋_GBK"/>
          <w:sz w:val="32"/>
          <w:szCs w:val="32"/>
        </w:rPr>
        <w:t>加快推进全州高标准烟田建设，完善生产基础设施条件。</w:t>
      </w:r>
      <w:r>
        <w:rPr>
          <w:rFonts w:eastAsia="方正仿宋_GBK"/>
          <w:sz w:val="32"/>
          <w:szCs w:val="32"/>
          <w:lang w:val="zh-CN"/>
        </w:rPr>
        <w:t>准确把握烟草行业基础设施建设投入补贴政策，</w:t>
      </w:r>
      <w:bookmarkStart w:id="3" w:name="issueName"/>
      <w:r>
        <w:rPr>
          <w:rFonts w:eastAsia="方正仿宋_GBK"/>
          <w:sz w:val="32"/>
          <w:szCs w:val="32"/>
          <w:lang w:val="zh-CN"/>
        </w:rPr>
        <w:t>按照云南省最新烟叶生产基础设施建设项目修复管理办法</w:t>
      </w:r>
      <w:bookmarkEnd w:id="3"/>
      <w:r>
        <w:rPr>
          <w:rFonts w:eastAsia="方正仿宋_GBK"/>
          <w:sz w:val="32"/>
          <w:szCs w:val="32"/>
          <w:lang w:val="zh-CN"/>
        </w:rPr>
        <w:t>要求，烟草部门要积极申报各项基础设施的建设、修复项目，不断夯实烟叶生产基础。香料烟公司要加大基层站点建设力度，完善硬件配套设施；各级各部门要整合各方资金，进一步加大烟水、烟路、水源点、防雹设施等涉烟基础设施建设力度，切实为烟叶生产发展提供基础保障。</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（九）加强烟草专卖管理，为全州烟叶生产营造良好氛围</w:t>
      </w:r>
      <w:r>
        <w:rPr>
          <w:rFonts w:eastAsia="方正仿宋_GBK"/>
          <w:b/>
          <w:bCs/>
          <w:sz w:val="32"/>
          <w:szCs w:val="32"/>
          <w:lang w:val="zh-CN"/>
        </w:rPr>
        <w:t>。</w:t>
      </w:r>
      <w:r>
        <w:rPr>
          <w:rFonts w:eastAsia="方正仿宋_GBK"/>
          <w:sz w:val="32"/>
          <w:szCs w:val="32"/>
          <w:lang w:val="zh-CN"/>
        </w:rPr>
        <w:t>烟草、公安、交通运输、市场监督等部门要通力协作，坚持烟草专卖制度，保持对涉烟违法犯罪活动的高压态势，维护良好的烟叶收购流通秩序和市场环境。各县市要组织协调相关部门力量，重点加强对不适用烟叶处置工作的监管，严厉打击不适用烟叶的收购、囤积、加工、贩运等行为，坚决杜绝不适用烟叶流入市场。烟草部门要严格按照《专卖内管工作流程规范》《烟叶种植收购合同管理办法》等规定，规范烟叶种植、收购、移库等管理。</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（十）全力以赴抓好烟草产业精准扶贫。</w:t>
      </w:r>
      <w:r>
        <w:rPr>
          <w:rFonts w:eastAsia="方正仿宋_GBK"/>
          <w:sz w:val="32"/>
          <w:szCs w:val="32"/>
        </w:rPr>
        <w:t>各级各部门要把烟草产业发展同</w:t>
      </w:r>
      <w:bookmarkStart w:id="5" w:name="_GoBack"/>
      <w:bookmarkEnd w:id="5"/>
      <w:r>
        <w:rPr>
          <w:rFonts w:hint="eastAsia" w:eastAsia="方正仿宋_GBK"/>
          <w:sz w:val="32"/>
          <w:szCs w:val="32"/>
          <w:lang w:eastAsia="zh-CN"/>
        </w:rPr>
        <w:t>巩固拓展脱贫攻坚成果</w:t>
      </w:r>
      <w:r>
        <w:rPr>
          <w:rFonts w:eastAsia="方正仿宋_GBK"/>
          <w:sz w:val="32"/>
          <w:szCs w:val="32"/>
        </w:rPr>
        <w:t>和乡村振兴战略有机结合起来。烟叶种植计划重点倾斜建档立卡户，扩大覆盖受益面，做好指导，确保烟农增收水平整体提高。</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（十一）坚持目标责任管理，严格目标考核。</w:t>
      </w:r>
      <w:r>
        <w:rPr>
          <w:rFonts w:eastAsia="方正仿宋_GBK"/>
          <w:sz w:val="32"/>
          <w:szCs w:val="32"/>
          <w:lang w:val="zh-CN"/>
        </w:rPr>
        <w:t>坚持主要领导亲自抓、分管领导具体抓，形成一级抓一级、层层抓落实、齐抓共管的工作格局。把烟叶生产督查考核纳入全州年度督查工作计划，由州委、州政府督查室牵头，在面积落实、技术落实、调制（烘烤）、收购等关键环节择时开展督导考核工作，以检查考核为抓手，全面促进各项生产措施的落实。</w:t>
      </w:r>
    </w:p>
    <w:p>
      <w:pPr>
        <w:spacing w:line="540" w:lineRule="exact"/>
        <w:ind w:firstLine="640" w:firstLineChars="200"/>
        <w:rPr>
          <w:rFonts w:eastAsia="方正仿宋_GBK"/>
          <w:sz w:val="32"/>
          <w:szCs w:val="32"/>
        </w:rPr>
      </w:pPr>
      <w:r>
        <w:rPr>
          <w:rFonts w:eastAsia="方正仿宋_GBK"/>
          <w:sz w:val="32"/>
          <w:szCs w:val="32"/>
        </w:rPr>
        <w:t>2021年是巩固稳定核心烟区、加大特色烟开发和提升烟叶质量的关键之年，各级各部门要统一思想，提高认识，狠抓落实，全力推进德宏烟草产业高质量发展，促进我州经济社会可持续发展。</w:t>
      </w:r>
    </w:p>
    <w:p>
      <w:pPr>
        <w:spacing w:line="54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附件：</w:t>
      </w:r>
      <w:r>
        <w:rPr>
          <w:rFonts w:eastAsia="方正仿宋_GBK"/>
          <w:sz w:val="32"/>
          <w:szCs w:val="32"/>
        </w:rPr>
        <w:t>德宏州2021年烟叶生产任务分配表</w:t>
      </w:r>
    </w:p>
    <w:p>
      <w:pPr>
        <w:spacing w:line="540" w:lineRule="exact"/>
        <w:ind w:firstLine="640" w:firstLineChars="200"/>
        <w:rPr>
          <w:rFonts w:eastAsia="方正仿宋_GBK"/>
          <w:sz w:val="32"/>
          <w:szCs w:val="32"/>
        </w:rPr>
      </w:pPr>
    </w:p>
    <w:p>
      <w:pPr>
        <w:spacing w:line="540" w:lineRule="exact"/>
        <w:ind w:firstLine="640" w:firstLineChars="200"/>
        <w:rPr>
          <w:rFonts w:eastAsia="方正仿宋_GBK"/>
          <w:sz w:val="32"/>
          <w:szCs w:val="32"/>
        </w:rPr>
      </w:pPr>
    </w:p>
    <w:p>
      <w:pPr>
        <w:spacing w:line="540" w:lineRule="exact"/>
        <w:ind w:firstLine="640" w:firstLineChars="200"/>
        <w:rPr>
          <w:rFonts w:eastAsia="方正仿宋_GBK"/>
          <w:sz w:val="32"/>
          <w:szCs w:val="32"/>
        </w:rPr>
      </w:pPr>
      <w:r>
        <w:rPr>
          <w:sz w:val="32"/>
        </w:rPr>
        <w:pict>
          <v:rect id="KG_Shd_10" o:spid="_x0000_s1084" o:spt="1" style="position:absolute;left:0pt;margin-left:-297.65pt;margin-top:-420.95pt;height:1683.8pt;width:1190.6pt;z-index:-251657216;mso-width-relative:page;mso-height-relative:page;" fillcolor="#FFFFFF" filled="t" stroked="t" coordsize="21600,21600">
            <v:path/>
            <v:fill on="t" opacity="0f" focussize="0,0"/>
            <v:stroke color="#FFFFFF" opacity="0f"/>
            <v:imagedata o:title=""/>
            <o:lock v:ext="edit" aspectratio="f"/>
          </v:rect>
        </w:pict>
      </w:r>
      <w:r>
        <w:rPr>
          <w:sz w:val="32"/>
        </w:rPr>
        <w:pict>
          <v:shape id="KG_5F882434$01$29$0001$N$001000" o:spid="_x0000_s1085" o:spt="75" alt="Seal" type="#_x0000_t75" style="position:absolute;left:0pt;margin-left:309.7pt;margin-top:524.2pt;height:127.55pt;width:127.55pt;mso-position-horizontal-relative:page;mso-position-vertical-relative:page;z-index:-251656192;mso-width-relative:page;mso-height-relative:page;" filled="f" o:preferrelative="t" stroked="f" coordsize="21600,21600">
            <v:path/>
            <v:fill on="f" focussize="0,0"/>
            <v:stroke on="f"/>
            <v:imagedata r:id="rId8" o:title="Seal"/>
            <o:lock v:ext="edit" aspectratio="t"/>
            <w10:anchorlock/>
          </v:shape>
        </w:pict>
      </w:r>
    </w:p>
    <w:p>
      <w:pPr>
        <w:spacing w:line="540" w:lineRule="exact"/>
        <w:ind w:firstLine="640" w:firstLineChars="200"/>
        <w:rPr>
          <w:rFonts w:eastAsia="方正仿宋_GBK"/>
          <w:sz w:val="32"/>
          <w:szCs w:val="32"/>
        </w:rPr>
      </w:pPr>
    </w:p>
    <w:p>
      <w:pPr>
        <w:spacing w:line="540" w:lineRule="exact"/>
        <w:ind w:firstLine="640" w:firstLineChars="200"/>
        <w:jc w:val="center"/>
        <w:rPr>
          <w:rFonts w:hint="eastAsia" w:eastAsia="方正仿宋_GBK"/>
          <w:sz w:val="32"/>
          <w:szCs w:val="32"/>
        </w:rPr>
      </w:pPr>
      <w:r>
        <w:rPr>
          <w:rFonts w:hint="eastAsia" w:eastAsia="方正仿宋_GBK"/>
          <w:sz w:val="32"/>
          <w:szCs w:val="32"/>
        </w:rPr>
        <w:t xml:space="preserve">               2020年10月15日</w:t>
      </w:r>
    </w:p>
    <w:p>
      <w:pPr>
        <w:tabs>
          <w:tab w:val="left" w:pos="566"/>
        </w:tabs>
        <w:spacing w:line="540" w:lineRule="exact"/>
        <w:jc w:val="left"/>
        <w:rPr>
          <w:rFonts w:eastAsia="方正仿宋_GBK"/>
          <w:sz w:val="32"/>
          <w:szCs w:val="32"/>
        </w:rPr>
      </w:pPr>
      <w:r>
        <w:rPr>
          <w:rFonts w:eastAsia="方正仿宋_GBK"/>
          <w:sz w:val="32"/>
          <w:szCs w:val="32"/>
        </w:rPr>
        <w:t>（此件公开发布）</w:t>
      </w:r>
    </w:p>
    <w:p>
      <w:pPr>
        <w:spacing w:line="560" w:lineRule="atLeast"/>
        <w:ind w:firstLine="640" w:firstLineChars="200"/>
        <w:rPr>
          <w:rFonts w:eastAsia="方正仿宋_GBK"/>
          <w:sz w:val="32"/>
          <w:szCs w:val="32"/>
        </w:rPr>
      </w:pPr>
    </w:p>
    <w:p>
      <w:pPr>
        <w:spacing w:line="560" w:lineRule="atLeast"/>
        <w:ind w:left="1598" w:leftChars="304" w:hanging="960" w:hangingChars="300"/>
        <w:rPr>
          <w:rFonts w:eastAsia="方正仿宋_GBK"/>
          <w:sz w:val="32"/>
          <w:szCs w:val="32"/>
        </w:rPr>
      </w:pPr>
    </w:p>
    <w:p>
      <w:pPr>
        <w:spacing w:line="560" w:lineRule="atLeast"/>
        <w:ind w:left="1478" w:leftChars="304" w:hanging="840" w:hangingChars="300"/>
        <w:rPr>
          <w:rFonts w:eastAsia="方正仿宋_GBK"/>
          <w:sz w:val="28"/>
          <w:szCs w:val="28"/>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600" w:lineRule="exact"/>
        <w:ind w:right="880" w:firstLine="880" w:firstLineChars="2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德宏州2021年烟叶生产任务分配表</w:t>
      </w:r>
    </w:p>
    <w:p>
      <w:pPr>
        <w:spacing w:line="600" w:lineRule="exact"/>
        <w:ind w:right="880" w:firstLine="640" w:firstLineChars="200"/>
        <w:jc w:val="center"/>
        <w:rPr>
          <w:rFonts w:eastAsia="方正仿宋_GBK"/>
          <w:sz w:val="32"/>
          <w:szCs w:val="32"/>
        </w:rPr>
      </w:pPr>
      <w:r>
        <w:rPr>
          <w:rFonts w:hint="eastAsia" w:eastAsia="方正仿宋_GBK"/>
          <w:sz w:val="32"/>
          <w:szCs w:val="32"/>
        </w:rPr>
        <w:t xml:space="preserve">                                       </w:t>
      </w:r>
      <w:r>
        <w:rPr>
          <w:rFonts w:eastAsia="方正仿宋_GBK"/>
          <w:sz w:val="32"/>
          <w:szCs w:val="32"/>
        </w:rPr>
        <w:t xml:space="preserve">             </w:t>
      </w:r>
      <w:r>
        <w:rPr>
          <w:rFonts w:hint="eastAsia" w:eastAsia="方正仿宋_GBK"/>
          <w:sz w:val="32"/>
          <w:szCs w:val="32"/>
        </w:rPr>
        <w:t xml:space="preserve">   单位：万亩、</w:t>
      </w:r>
      <w:r>
        <w:rPr>
          <w:rFonts w:eastAsia="方正仿宋_GBK"/>
          <w:sz w:val="32"/>
          <w:szCs w:val="32"/>
        </w:rPr>
        <w:t>万担</w:t>
      </w:r>
    </w:p>
    <w:tbl>
      <w:tblPr>
        <w:tblStyle w:val="4"/>
        <w:tblW w:w="0" w:type="auto"/>
        <w:jc w:val="center"/>
        <w:tblLayout w:type="fixed"/>
        <w:tblCellMar>
          <w:top w:w="0" w:type="dxa"/>
          <w:left w:w="108" w:type="dxa"/>
          <w:bottom w:w="0" w:type="dxa"/>
          <w:right w:w="108" w:type="dxa"/>
        </w:tblCellMar>
      </w:tblPr>
      <w:tblGrid>
        <w:gridCol w:w="1421"/>
        <w:gridCol w:w="1223"/>
        <w:gridCol w:w="1223"/>
        <w:gridCol w:w="1225"/>
        <w:gridCol w:w="1223"/>
        <w:gridCol w:w="1234"/>
        <w:gridCol w:w="1297"/>
        <w:gridCol w:w="1275"/>
        <w:gridCol w:w="1127"/>
      </w:tblGrid>
      <w:tr>
        <w:tblPrEx>
          <w:tblCellMar>
            <w:top w:w="0" w:type="dxa"/>
            <w:left w:w="108" w:type="dxa"/>
            <w:bottom w:w="0" w:type="dxa"/>
            <w:right w:w="108" w:type="dxa"/>
          </w:tblCellMar>
        </w:tblPrEx>
        <w:trPr>
          <w:trHeight w:val="719" w:hRule="atLeast"/>
          <w:jc w:val="center"/>
        </w:trPr>
        <w:tc>
          <w:tcPr>
            <w:tcW w:w="1421"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bottom"/>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   品种</w:t>
            </w:r>
          </w:p>
          <w:p>
            <w:pPr>
              <w:widowControl/>
              <w:rPr>
                <w:rFonts w:eastAsia="方正仿宋_GBK"/>
                <w:color w:val="000000"/>
                <w:kern w:val="0"/>
                <w:sz w:val="30"/>
                <w:szCs w:val="30"/>
              </w:rPr>
            </w:pPr>
            <w:r>
              <w:rPr>
                <w:rFonts w:eastAsia="方正仿宋_GBK"/>
                <w:color w:val="000000"/>
                <w:kern w:val="0"/>
                <w:sz w:val="30"/>
                <w:szCs w:val="30"/>
              </w:rPr>
              <w:t xml:space="preserve">     </w:t>
            </w:r>
          </w:p>
          <w:p>
            <w:pPr>
              <w:widowControl/>
              <w:rPr>
                <w:rFonts w:ascii="方正仿宋_GBK" w:hAnsi="宋体" w:eastAsia="方正仿宋_GBK" w:cs="宋体"/>
                <w:color w:val="000000"/>
                <w:kern w:val="0"/>
                <w:sz w:val="30"/>
                <w:szCs w:val="30"/>
              </w:rPr>
            </w:pPr>
            <w:r>
              <w:rPr>
                <w:rFonts w:eastAsia="方正仿宋_GBK"/>
                <w:color w:val="000000"/>
                <w:kern w:val="0"/>
                <w:sz w:val="30"/>
                <w:szCs w:val="30"/>
              </w:rPr>
              <w:t xml:space="preserve">                                                     </w:t>
            </w:r>
            <w:r>
              <w:rPr>
                <w:rFonts w:hint="eastAsia" w:ascii="方正仿宋_GBK" w:hAnsi="宋体" w:eastAsia="方正仿宋_GBK" w:cs="宋体"/>
                <w:color w:val="000000"/>
                <w:kern w:val="0"/>
                <w:sz w:val="30"/>
                <w:szCs w:val="30"/>
              </w:rPr>
              <w:t>县市</w:t>
            </w:r>
          </w:p>
        </w:tc>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香料烟</w:t>
            </w:r>
          </w:p>
        </w:tc>
        <w:tc>
          <w:tcPr>
            <w:tcW w:w="244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晒黄烟</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烤  烟</w:t>
            </w:r>
          </w:p>
        </w:tc>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合  计</w:t>
            </w:r>
          </w:p>
        </w:tc>
      </w:tr>
      <w:tr>
        <w:tblPrEx>
          <w:tblCellMar>
            <w:top w:w="0" w:type="dxa"/>
            <w:left w:w="108" w:type="dxa"/>
            <w:bottom w:w="0" w:type="dxa"/>
            <w:right w:w="108" w:type="dxa"/>
          </w:tblCellMar>
        </w:tblPrEx>
        <w:trPr>
          <w:trHeight w:val="1376" w:hRule="atLeast"/>
          <w:jc w:val="center"/>
        </w:trPr>
        <w:tc>
          <w:tcPr>
            <w:tcW w:w="14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eastAsia="方正仿宋_GBK" w:cs="宋体"/>
                <w:color w:val="000000"/>
                <w:kern w:val="0"/>
                <w:sz w:val="30"/>
                <w:szCs w:val="30"/>
              </w:rPr>
            </w:pPr>
          </w:p>
        </w:tc>
        <w:tc>
          <w:tcPr>
            <w:tcW w:w="1223"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223"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c>
          <w:tcPr>
            <w:tcW w:w="1225"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223"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c>
          <w:tcPr>
            <w:tcW w:w="1234"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c>
          <w:tcPr>
            <w:tcW w:w="1275"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127"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芒  市</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5"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4.86</w:t>
            </w:r>
          </w:p>
        </w:tc>
        <w:tc>
          <w:tcPr>
            <w:tcW w:w="129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13.13</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4.86</w:t>
            </w:r>
          </w:p>
        </w:tc>
        <w:tc>
          <w:tcPr>
            <w:tcW w:w="112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13.13</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梁河县</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4.44</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12.00</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4.44</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12.00</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盈江县</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1.53</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6.10</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0.74</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2.00</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2.27</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8.10</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陇川县</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0.63</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2.00</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4.03</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10.87</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4.66</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12.87</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瑞丽市</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0.32</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1.00</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0.32</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1.00</w:t>
            </w:r>
          </w:p>
        </w:tc>
      </w:tr>
      <w:tr>
        <w:tblPrEx>
          <w:tblCellMar>
            <w:top w:w="0" w:type="dxa"/>
            <w:left w:w="108" w:type="dxa"/>
            <w:bottom w:w="0" w:type="dxa"/>
            <w:right w:w="108" w:type="dxa"/>
          </w:tblCellMar>
        </w:tblPrEx>
        <w:trPr>
          <w:trHeight w:val="656"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合  计</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0.95</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3.00</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1.53</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6.10</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14.07</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38.00</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16.55</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47.10</w:t>
            </w:r>
          </w:p>
        </w:tc>
        <w:bookmarkStart w:id="4" w:name="baidusnap3"/>
      </w:tr>
      <w:bookmarkEnd w:id="4"/>
    </w:tbl>
    <w:p/>
    <w:p/>
    <w:p>
      <w:pPr>
        <w:sectPr>
          <w:pgSz w:w="16838" w:h="11906" w:orient="landscape"/>
          <w:pgMar w:top="1587" w:right="2098" w:bottom="1474" w:left="1985" w:header="851" w:footer="1134" w:gutter="0"/>
          <w:cols w:space="720" w:num="1"/>
          <w:docGrid w:linePitch="312" w:charSpace="0"/>
        </w:sectPr>
      </w:pPr>
    </w:p>
    <w:p/>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spacing w:line="560" w:lineRule="atLeast"/>
        <w:ind w:left="1478" w:leftChars="304" w:hanging="840" w:hangingChars="300"/>
        <w:rPr>
          <w:rFonts w:hint="eastAsia"/>
        </w:rPr>
      </w:pPr>
      <w:r>
        <w:rPr>
          <w:rFonts w:eastAsia="方正仿宋_GBK"/>
          <w:sz w:val="28"/>
          <w:szCs w:val="28"/>
        </w:rPr>
        <w:t>抄送：州委</w:t>
      </w:r>
      <w:r>
        <w:rPr>
          <w:rFonts w:hint="eastAsia" w:eastAsia="方正仿宋_GBK"/>
          <w:sz w:val="28"/>
          <w:szCs w:val="28"/>
        </w:rPr>
        <w:t>办公室，</w:t>
      </w:r>
      <w:r>
        <w:rPr>
          <w:rFonts w:eastAsia="方正仿宋_GBK"/>
          <w:sz w:val="28"/>
          <w:szCs w:val="28"/>
        </w:rPr>
        <w:t>州人大常委会办</w:t>
      </w:r>
      <w:r>
        <w:rPr>
          <w:rFonts w:hint="eastAsia" w:eastAsia="方正仿宋_GBK"/>
          <w:sz w:val="28"/>
          <w:szCs w:val="28"/>
        </w:rPr>
        <w:t>，</w:t>
      </w:r>
      <w:r>
        <w:rPr>
          <w:rFonts w:eastAsia="方正仿宋_GBK"/>
          <w:sz w:val="28"/>
          <w:szCs w:val="28"/>
        </w:rPr>
        <w:t>州政协</w:t>
      </w:r>
      <w:r>
        <w:rPr>
          <w:rFonts w:hint="eastAsia" w:eastAsia="方正仿宋_GBK"/>
          <w:sz w:val="28"/>
          <w:szCs w:val="28"/>
        </w:rPr>
        <w:t>办公室</w:t>
      </w:r>
      <w:r>
        <w:rPr>
          <w:rFonts w:eastAsia="方正仿宋_GBK"/>
          <w:sz w:val="28"/>
          <w:szCs w:val="28"/>
        </w:rPr>
        <w:t>，州委政策研究室</w:t>
      </w:r>
      <w:r>
        <w:rPr>
          <w:rFonts w:hint="eastAsia" w:eastAsia="方正仿宋_GBK"/>
          <w:sz w:val="28"/>
          <w:szCs w:val="28"/>
        </w:rPr>
        <w:t>，</w:t>
      </w:r>
      <w:r>
        <w:rPr>
          <w:rFonts w:eastAsia="方正仿宋_GBK"/>
          <w:sz w:val="28"/>
          <w:szCs w:val="28"/>
        </w:rPr>
        <w:t>州委督查室，州政府督查室、州发展改革委、州工信科技局、州教育体育局、州公安局、州民政局、州财政局、州自然资源和规划局、州交通运输局、州农业农村局、州水利局、州市场监管局、州林草局、州统计局、州扶贫办、州农垦局，州气象局、州税务局、州烟草公司（州烟草专卖局）、德宏路政支队、省联社德宏办事处、德宏供电局、人寿财险德宏</w:t>
      </w:r>
      <w:r>
        <w:rPr>
          <w:rFonts w:hint="eastAsia" w:eastAsia="方正仿宋_GBK"/>
          <w:sz w:val="28"/>
          <w:szCs w:val="28"/>
        </w:rPr>
        <w:t>分</w:t>
      </w:r>
      <w:r>
        <w:rPr>
          <w:rFonts w:eastAsia="方正仿宋_GBK"/>
          <w:sz w:val="28"/>
          <w:szCs w:val="28"/>
        </w:rPr>
        <w:t>公司、云南香料烟有限责任公司。</w:t>
      </w:r>
    </w:p>
    <w:p/>
    <w:sectPr>
      <w:pgSz w:w="11906" w:h="16838"/>
      <w:pgMar w:top="2098" w:right="1418"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 o:spid="_x0000_s2050" o:spt="202" type="#_x0000_t202" style="position:absolute;left:0pt;margin-left:372.85pt;margin-top:-30.7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2049" o:spt="202" type="#_x0000_t202" style="position:absolute;left:0pt;margin-left:12.75pt;margin-top:-30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3CFC"/>
    <w:rsid w:val="00043089"/>
    <w:rsid w:val="000D508A"/>
    <w:rsid w:val="0013750B"/>
    <w:rsid w:val="00217D1D"/>
    <w:rsid w:val="002942CC"/>
    <w:rsid w:val="002B7697"/>
    <w:rsid w:val="002D1FF8"/>
    <w:rsid w:val="002E2408"/>
    <w:rsid w:val="002F158D"/>
    <w:rsid w:val="003B2FA0"/>
    <w:rsid w:val="0048631D"/>
    <w:rsid w:val="00500798"/>
    <w:rsid w:val="005100E0"/>
    <w:rsid w:val="005C570B"/>
    <w:rsid w:val="005F5E90"/>
    <w:rsid w:val="0062343E"/>
    <w:rsid w:val="006A0629"/>
    <w:rsid w:val="00815503"/>
    <w:rsid w:val="00A37C8C"/>
    <w:rsid w:val="00D1042D"/>
    <w:rsid w:val="00D11F31"/>
    <w:rsid w:val="00D202EB"/>
    <w:rsid w:val="00D631BC"/>
    <w:rsid w:val="00DC5809"/>
    <w:rsid w:val="00DD7A0D"/>
    <w:rsid w:val="00E15ACB"/>
    <w:rsid w:val="00E54EF2"/>
    <w:rsid w:val="00EB027F"/>
    <w:rsid w:val="00EE3899"/>
    <w:rsid w:val="21F90171"/>
    <w:rsid w:val="2C646A8D"/>
    <w:rsid w:val="43960D7F"/>
    <w:rsid w:val="44D144FF"/>
    <w:rsid w:val="4E7329F3"/>
    <w:rsid w:val="56D3014F"/>
    <w:rsid w:val="61D23CFC"/>
    <w:rsid w:val="75BA2F49"/>
    <w:rsid w:val="7DFB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2024-02-21T07:12:19Z</dcterms:created>
  <dc:creator>Administrator</dc:creator>
  <cp:lastModifiedBy>Administrator</cp:lastModifiedBy>
  <dcterms:modified xsi:type="dcterms:W3CDTF">2024-02-21T07:12:45Z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A79BE31834E24D06AF40EF2DD4CB45D3</vt:lpwstr>
  </property>
</Properties>
</file>