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lang w:eastAsia="zh-CN"/>
        </w:rPr>
        <w:t>陇川县卫生健康局</w:t>
      </w:r>
      <w:r>
        <w:rPr>
          <w:rFonts w:hint="eastAsia" w:ascii="方正小标宋简体" w:eastAsia="方正小标宋简体"/>
          <w:sz w:val="44"/>
          <w:szCs w:val="44"/>
        </w:rPr>
        <w:t>2020年部门预算重点项目绩效情况说明</w:t>
      </w:r>
      <w:r>
        <w:rPr>
          <w:rFonts w:hint="eastAsia" w:ascii="方正小标宋简体" w:eastAsia="方正小标宋简体"/>
          <w:sz w:val="44"/>
          <w:szCs w:val="44"/>
          <w:lang w:eastAsia="zh-CN"/>
        </w:rPr>
        <w:t>（</w:t>
      </w:r>
      <w:r>
        <w:rPr>
          <w:rFonts w:hint="eastAsia" w:ascii="黑体" w:hAnsi="黑体" w:eastAsia="黑体" w:cs="黑体"/>
          <w:sz w:val="44"/>
          <w:szCs w:val="44"/>
          <w:lang w:eastAsia="zh-CN"/>
        </w:rPr>
        <w:t>医疗服务价格调整补偿</w:t>
      </w:r>
      <w:r>
        <w:rPr>
          <w:rFonts w:hint="eastAsia" w:ascii="方正小标宋简体" w:eastAsia="方正小标宋简体"/>
          <w:sz w:val="44"/>
          <w:szCs w:val="44"/>
        </w:rPr>
        <w:t>项目</w:t>
      </w:r>
      <w:r>
        <w:rPr>
          <w:rFonts w:hint="eastAsia" w:ascii="方正小标宋简体" w:eastAsia="方正小标宋简体"/>
          <w:sz w:val="44"/>
          <w:szCs w:val="44"/>
          <w:lang w:eastAsia="zh-CN"/>
        </w:rPr>
        <w:t>）</w:t>
      </w:r>
    </w:p>
    <w:p>
      <w:pPr>
        <w:numPr>
          <w:ilvl w:val="0"/>
          <w:numId w:val="1"/>
        </w:numPr>
        <w:autoSpaceDE w:val="0"/>
        <w:ind w:firstLine="640" w:firstLineChars="200"/>
        <w:rPr>
          <w:rFonts w:hint="eastAsia" w:ascii="方正仿宋_GBK"/>
        </w:rPr>
      </w:pPr>
      <w:r>
        <w:rPr>
          <w:rFonts w:hint="eastAsia" w:ascii="方正仿宋_GBK"/>
        </w:rPr>
        <w:t>项目概述</w:t>
      </w:r>
    </w:p>
    <w:p>
      <w:pPr>
        <w:numPr>
          <w:ilvl w:val="0"/>
          <w:numId w:val="0"/>
        </w:numPr>
        <w:autoSpaceDE w:val="0"/>
        <w:ind w:firstLine="640" w:firstLineChars="200"/>
        <w:rPr>
          <w:rFonts w:hint="eastAsia" w:ascii="方正仿宋_GBK"/>
          <w:lang w:val="en-US" w:eastAsia="zh-CN"/>
        </w:rPr>
      </w:pPr>
      <w:r>
        <w:rPr>
          <w:rFonts w:hint="eastAsia" w:ascii="方正仿宋_GBK"/>
          <w:lang w:val="en-US" w:eastAsia="zh-CN"/>
        </w:rPr>
        <w:t>项目名称：1、医疗服务项目调整补偿项目2、基本药物制度以奖代补项目</w:t>
      </w:r>
    </w:p>
    <w:p>
      <w:pPr>
        <w:numPr>
          <w:ilvl w:val="0"/>
          <w:numId w:val="1"/>
        </w:numPr>
        <w:autoSpaceDE w:val="0"/>
        <w:ind w:firstLine="640" w:firstLineChars="200"/>
        <w:rPr>
          <w:rFonts w:hint="eastAsia" w:ascii="方正仿宋_GBK"/>
        </w:rPr>
      </w:pPr>
      <w:r>
        <w:rPr>
          <w:rFonts w:hint="eastAsia" w:ascii="方正仿宋_GBK"/>
        </w:rPr>
        <w:t>立项依据</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1、德政办发〔2017〕68号，《德宏州人民政府办公室转发州发展改革委等部门关于公立医院取消药品和耗材加成调整医疗服务价格补偿方案的通知》。</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2、德政发〔2011〕4号，《德宏州人民政府关于印发德宏州基层医疗机构实施基本药物制度补偿暂行办法的通知》。</w:t>
      </w:r>
    </w:p>
    <w:p>
      <w:pPr>
        <w:autoSpaceDE w:val="0"/>
        <w:ind w:firstLine="640" w:firstLineChars="200"/>
        <w:rPr>
          <w:rFonts w:hint="eastAsia" w:ascii="方正仿宋_GBK"/>
        </w:rPr>
      </w:pPr>
      <w:r>
        <w:rPr>
          <w:rFonts w:hint="eastAsia" w:ascii="方正仿宋_GBK"/>
        </w:rPr>
        <w:t>三、实施主体</w:t>
      </w:r>
    </w:p>
    <w:p>
      <w:pPr>
        <w:adjustRightInd w:val="0"/>
        <w:snapToGrid w:val="0"/>
        <w:spacing w:line="360" w:lineRule="auto"/>
        <w:ind w:firstLine="600" w:firstLineChars="200"/>
        <w:rPr>
          <w:rFonts w:hint="eastAsia" w:ascii="仿宋" w:hAnsi="仿宋" w:eastAsia="仿宋" w:cs="仿宋"/>
          <w:bCs/>
          <w:kern w:val="0"/>
          <w:sz w:val="30"/>
          <w:szCs w:val="30"/>
          <w:lang w:eastAsia="zh-CN"/>
        </w:rPr>
      </w:pPr>
      <w:r>
        <w:rPr>
          <w:rFonts w:hint="eastAsia" w:ascii="仿宋" w:hAnsi="仿宋" w:eastAsia="仿宋" w:cs="仿宋"/>
          <w:bCs/>
          <w:kern w:val="0"/>
          <w:sz w:val="30"/>
          <w:szCs w:val="30"/>
        </w:rPr>
        <w:t>主管部门：</w:t>
      </w:r>
      <w:r>
        <w:rPr>
          <w:rFonts w:hint="eastAsia" w:ascii="仿宋" w:hAnsi="仿宋" w:eastAsia="仿宋" w:cs="仿宋"/>
          <w:bCs/>
          <w:kern w:val="0"/>
          <w:sz w:val="30"/>
          <w:szCs w:val="30"/>
          <w:lang w:eastAsia="zh-CN"/>
        </w:rPr>
        <w:t>陇川县卫生健康局</w:t>
      </w:r>
    </w:p>
    <w:p>
      <w:pPr>
        <w:adjustRightInd w:val="0"/>
        <w:snapToGrid w:val="0"/>
        <w:spacing w:line="360" w:lineRule="auto"/>
        <w:ind w:firstLine="600" w:firstLineChars="200"/>
        <w:rPr>
          <w:rFonts w:hint="eastAsia" w:ascii="方正仿宋_GBK"/>
        </w:rPr>
      </w:pPr>
      <w:r>
        <w:rPr>
          <w:rFonts w:hint="eastAsia" w:ascii="仿宋" w:hAnsi="仿宋" w:eastAsia="仿宋" w:cs="仿宋"/>
          <w:bCs/>
          <w:kern w:val="0"/>
          <w:sz w:val="30"/>
          <w:szCs w:val="30"/>
        </w:rPr>
        <w:t>项目单位：</w:t>
      </w:r>
      <w:r>
        <w:rPr>
          <w:rFonts w:hint="eastAsia" w:ascii="仿宋" w:hAnsi="仿宋" w:eastAsia="仿宋" w:cs="仿宋"/>
          <w:bCs/>
          <w:kern w:val="0"/>
          <w:sz w:val="30"/>
          <w:szCs w:val="30"/>
          <w:lang w:eastAsia="zh-CN"/>
        </w:rPr>
        <w:t>陇川县各医疗卫生机构</w:t>
      </w:r>
    </w:p>
    <w:p>
      <w:pPr>
        <w:autoSpaceDE w:val="0"/>
        <w:ind w:firstLine="640" w:firstLineChars="200"/>
        <w:rPr>
          <w:rFonts w:hint="eastAsia"/>
        </w:rPr>
      </w:pPr>
      <w:r>
        <w:rPr>
          <w:rFonts w:hint="eastAsia" w:ascii="方正仿宋_GBK"/>
        </w:rPr>
        <w:t>四、实施方案</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left"/>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sz w:val="32"/>
          <w:szCs w:val="32"/>
        </w:rPr>
        <w:t>主要建设任务</w:t>
      </w:r>
      <w:r>
        <w:rPr>
          <w:rFonts w:hint="eastAsia" w:ascii="方正楷体_GBK" w:hAnsi="方正楷体_GBK" w:eastAsia="方正楷体_GBK"/>
          <w:sz w:val="32"/>
          <w:szCs w:val="32"/>
          <w:lang w:eastAsia="zh-CN"/>
        </w:rPr>
        <w:t>：</w:t>
      </w:r>
      <w:r>
        <w:rPr>
          <w:rFonts w:hint="eastAsia" w:ascii="Times New Roman" w:hAnsi="Times New Roman" w:eastAsia="方正仿宋_GBK" w:cs="Times New Roman"/>
          <w:sz w:val="32"/>
          <w:szCs w:val="32"/>
          <w:lang w:eastAsia="zh-CN"/>
        </w:rPr>
        <w:t>公立医院破除“以药补医”逐利机制，引导公立医院由逐利性向社会公益性方向发展，破除公立医院依靠销售药品和耗材获取高额收入的逐利机制，遏制药品、耗材购销领域的腐败问题，建立以医疗服务收入、财政补助为补偿渠道的符合医疗行业特点的新型补偿机制，使公立医院得到合理补偿，确保公立医院的良性运行和发展，引导公立医院回归公益性质，发挥公立医院主体作用，切实落实政府办医责任。</w:t>
      </w:r>
    </w:p>
    <w:p>
      <w:pPr>
        <w:numPr>
          <w:ilvl w:val="0"/>
          <w:numId w:val="2"/>
        </w:numPr>
        <w:autoSpaceDE w:val="0"/>
        <w:ind w:firstLine="640" w:firstLineChars="200"/>
        <w:rPr>
          <w:rFonts w:hint="eastAsia" w:ascii="方正仿宋_GBK"/>
        </w:rPr>
      </w:pPr>
      <w:r>
        <w:rPr>
          <w:rFonts w:hint="eastAsia" w:ascii="方正仿宋_GBK"/>
        </w:rPr>
        <w:t>实施周期</w:t>
      </w:r>
    </w:p>
    <w:p>
      <w:pPr>
        <w:spacing w:line="360" w:lineRule="auto"/>
        <w:ind w:firstLine="600" w:firstLineChars="200"/>
        <w:rPr>
          <w:rFonts w:hint="eastAsia" w:ascii="方正仿宋_GBK"/>
        </w:rPr>
      </w:pPr>
      <w:r>
        <w:rPr>
          <w:rFonts w:hint="eastAsia" w:ascii="仿宋" w:hAnsi="仿宋" w:eastAsia="仿宋" w:cs="仿宋"/>
          <w:kern w:val="0"/>
          <w:sz w:val="30"/>
          <w:szCs w:val="30"/>
        </w:rPr>
        <w:t>20</w:t>
      </w:r>
      <w:r>
        <w:rPr>
          <w:rFonts w:hint="eastAsia" w:ascii="仿宋" w:hAnsi="仿宋" w:eastAsia="仿宋" w:cs="仿宋"/>
          <w:kern w:val="0"/>
          <w:sz w:val="30"/>
          <w:szCs w:val="30"/>
          <w:lang w:val="en-US" w:eastAsia="zh-CN"/>
        </w:rPr>
        <w:t>20</w:t>
      </w:r>
      <w:r>
        <w:rPr>
          <w:rFonts w:hint="eastAsia" w:ascii="仿宋" w:hAnsi="仿宋" w:eastAsia="仿宋" w:cs="仿宋"/>
          <w:kern w:val="0"/>
          <w:sz w:val="30"/>
          <w:szCs w:val="30"/>
        </w:rPr>
        <w:t>年</w:t>
      </w:r>
      <w:r>
        <w:rPr>
          <w:rFonts w:hint="eastAsia" w:ascii="仿宋" w:hAnsi="仿宋" w:eastAsia="仿宋" w:cs="仿宋"/>
          <w:kern w:val="0"/>
          <w:sz w:val="30"/>
          <w:szCs w:val="30"/>
          <w:lang w:val="en-US" w:eastAsia="zh-CN"/>
        </w:rPr>
        <w:t>-2022年</w:t>
      </w:r>
      <w:r>
        <w:rPr>
          <w:rFonts w:hint="eastAsia" w:ascii="仿宋" w:hAnsi="仿宋" w:eastAsia="仿宋" w:cs="仿宋"/>
          <w:kern w:val="0"/>
          <w:sz w:val="30"/>
          <w:szCs w:val="30"/>
          <w:lang w:eastAsia="zh-CN"/>
        </w:rPr>
        <w:t>。</w:t>
      </w:r>
    </w:p>
    <w:p>
      <w:pPr>
        <w:numPr>
          <w:ilvl w:val="0"/>
          <w:numId w:val="2"/>
        </w:numPr>
        <w:autoSpaceDE w:val="0"/>
        <w:ind w:firstLine="640" w:firstLineChars="200"/>
        <w:rPr>
          <w:rFonts w:hint="eastAsia" w:ascii="方正仿宋_GBK"/>
        </w:rPr>
      </w:pPr>
      <w:r>
        <w:rPr>
          <w:rFonts w:hint="eastAsia" w:ascii="方正仿宋_GBK"/>
        </w:rPr>
        <w:t>本年度预算安排</w:t>
      </w:r>
    </w:p>
    <w:p>
      <w:pPr>
        <w:numPr>
          <w:ilvl w:val="0"/>
          <w:numId w:val="0"/>
        </w:numPr>
        <w:autoSpaceDE w:val="0"/>
        <w:ind w:firstLine="640" w:firstLineChars="200"/>
        <w:rPr>
          <w:rFonts w:hint="eastAsia" w:ascii="方正仿宋_GBK" w:hAnsi="方正仿宋_GBK"/>
          <w:sz w:val="32"/>
          <w:szCs w:val="32"/>
          <w:lang w:val="en-US" w:eastAsia="zh-CN"/>
        </w:rPr>
      </w:pPr>
      <w:r>
        <w:rPr>
          <w:rFonts w:hint="eastAsia" w:ascii="方正仿宋_GBK" w:hAnsi="方正仿宋_GBK"/>
          <w:sz w:val="32"/>
          <w:szCs w:val="32"/>
          <w:lang w:val="en-US" w:eastAsia="zh-CN"/>
        </w:rPr>
        <w:t>1、</w:t>
      </w:r>
      <w:r>
        <w:rPr>
          <w:rFonts w:hint="eastAsia" w:ascii="方正仿宋_GBK"/>
          <w:lang w:val="en-US" w:eastAsia="zh-CN"/>
        </w:rPr>
        <w:t>医疗服务项目调整补偿项目资金100万元。2、基本药物制度以奖代补项目资金19.17万元。</w:t>
      </w:r>
    </w:p>
    <w:p>
      <w:pPr>
        <w:autoSpaceDE w:val="0"/>
        <w:ind w:firstLine="640" w:firstLineChars="200"/>
        <w:rPr>
          <w:rFonts w:hint="eastAsia" w:ascii="方正仿宋_GBK"/>
        </w:rPr>
      </w:pPr>
      <w:r>
        <w:rPr>
          <w:rFonts w:hint="eastAsia" w:ascii="方正仿宋_GBK"/>
        </w:rPr>
        <w:t>七、绩效目标和指标</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通过实施医疗服务价格调整补偿项目，深化医药卫生体制改革，</w:t>
      </w:r>
      <w:r>
        <w:rPr>
          <w:rFonts w:hint="eastAsia" w:ascii="Times New Roman" w:hAnsi="Times New Roman" w:eastAsia="方正仿宋_GBK" w:cs="Times New Roman"/>
          <w:sz w:val="32"/>
          <w:szCs w:val="32"/>
          <w:lang w:eastAsia="zh-CN"/>
        </w:rPr>
        <w:t>使公立医院得到合理补偿，确保公立医院的良性运行和发展，引导公立医院回归公益性质，发挥公立医院主体作用</w:t>
      </w:r>
      <w:bookmarkStart w:id="0" w:name="_GoBack"/>
      <w:bookmarkEnd w:id="0"/>
      <w:r>
        <w:rPr>
          <w:rFonts w:hint="eastAsia" w:ascii="Times New Roman" w:hAnsi="Times New Roman" w:cs="Times New Roman"/>
          <w:sz w:val="32"/>
          <w:szCs w:val="32"/>
          <w:lang w:eastAsia="zh-CN"/>
        </w:rPr>
        <w:t>，</w:t>
      </w:r>
      <w:r>
        <w:rPr>
          <w:rFonts w:hint="eastAsia" w:ascii="方正仿宋_GBK" w:hAnsi="方正仿宋_GBK" w:eastAsia="方正仿宋_GBK"/>
          <w:sz w:val="32"/>
          <w:szCs w:val="32"/>
          <w:lang w:val="en-US" w:eastAsia="zh-CN"/>
        </w:rPr>
        <w:t>不断提高医疗服务技术能力，为广大群众提供高效便捷的医疗卫生服务。</w:t>
      </w:r>
    </w:p>
    <w:p>
      <w:pPr>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4CFC34"/>
    <w:multiLevelType w:val="singleLevel"/>
    <w:tmpl w:val="5E4CFC34"/>
    <w:lvl w:ilvl="0" w:tentative="0">
      <w:start w:val="1"/>
      <w:numFmt w:val="chineseCounting"/>
      <w:suff w:val="nothing"/>
      <w:lvlText w:val="%1、"/>
      <w:lvlJc w:val="left"/>
    </w:lvl>
  </w:abstractNum>
  <w:abstractNum w:abstractNumId="1">
    <w:nsid w:val="5E4D035B"/>
    <w:multiLevelType w:val="singleLevel"/>
    <w:tmpl w:val="5E4D035B"/>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2F3"/>
    <w:rsid w:val="000209AB"/>
    <w:rsid w:val="00147F7C"/>
    <w:rsid w:val="001A2096"/>
    <w:rsid w:val="00213BCA"/>
    <w:rsid w:val="00221DCC"/>
    <w:rsid w:val="002953D9"/>
    <w:rsid w:val="00321481"/>
    <w:rsid w:val="00425E36"/>
    <w:rsid w:val="00460755"/>
    <w:rsid w:val="0047454C"/>
    <w:rsid w:val="004E5C1A"/>
    <w:rsid w:val="004F3E90"/>
    <w:rsid w:val="0051484C"/>
    <w:rsid w:val="005C7D87"/>
    <w:rsid w:val="006360A9"/>
    <w:rsid w:val="00664D4A"/>
    <w:rsid w:val="006A0BDD"/>
    <w:rsid w:val="007110A6"/>
    <w:rsid w:val="007170C7"/>
    <w:rsid w:val="007969CD"/>
    <w:rsid w:val="007975D2"/>
    <w:rsid w:val="00882C73"/>
    <w:rsid w:val="008A12B9"/>
    <w:rsid w:val="00922D7E"/>
    <w:rsid w:val="009F6474"/>
    <w:rsid w:val="00A31737"/>
    <w:rsid w:val="00AB6DFA"/>
    <w:rsid w:val="00C8297D"/>
    <w:rsid w:val="00C8799C"/>
    <w:rsid w:val="00CC43B5"/>
    <w:rsid w:val="00DB52F3"/>
    <w:rsid w:val="00DD4040"/>
    <w:rsid w:val="00E26346"/>
    <w:rsid w:val="00E660FE"/>
    <w:rsid w:val="00E83982"/>
    <w:rsid w:val="00E90FA7"/>
    <w:rsid w:val="00EA69CE"/>
    <w:rsid w:val="00EB0ED3"/>
    <w:rsid w:val="00F16053"/>
    <w:rsid w:val="00F5262F"/>
    <w:rsid w:val="02C524C7"/>
    <w:rsid w:val="139352C4"/>
    <w:rsid w:val="14C71341"/>
    <w:rsid w:val="1D893B52"/>
    <w:rsid w:val="24987E48"/>
    <w:rsid w:val="2AC76F04"/>
    <w:rsid w:val="3CAE0E32"/>
    <w:rsid w:val="407805C6"/>
    <w:rsid w:val="41720EEA"/>
    <w:rsid w:val="49E32E45"/>
    <w:rsid w:val="51E92295"/>
    <w:rsid w:val="52CD0FD2"/>
    <w:rsid w:val="5CA022EE"/>
    <w:rsid w:val="5F771146"/>
    <w:rsid w:val="6C203AAC"/>
    <w:rsid w:val="72364A94"/>
    <w:rsid w:val="73B27189"/>
    <w:rsid w:val="7E391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K" w:cs="方正仿宋_GBK"/>
      <w:kern w:val="2"/>
      <w:sz w:val="32"/>
      <w:szCs w:val="3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unhideWhenUsed/>
    <w:qFormat/>
    <w:uiPriority w:val="99"/>
    <w:rPr>
      <w:color w:val="333333"/>
      <w:u w:val="none"/>
    </w:rPr>
  </w:style>
  <w:style w:type="paragraph" w:customStyle="1" w:styleId="7">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
    <w:name w:val="p21"/>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5"/>
    <w:link w:val="3"/>
    <w:semiHidden/>
    <w:qFormat/>
    <w:uiPriority w:val="99"/>
    <w:rPr>
      <w:kern w:val="2"/>
      <w:sz w:val="18"/>
      <w:szCs w:val="18"/>
    </w:rPr>
  </w:style>
  <w:style w:type="character" w:customStyle="1" w:styleId="10">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易凡电脑</Company>
  <Pages>1</Pages>
  <Words>16</Words>
  <Characters>95</Characters>
  <Lines>1</Lines>
  <Paragraphs>1</Paragraphs>
  <TotalTime>0</TotalTime>
  <ScaleCrop>false</ScaleCrop>
  <LinksUpToDate>false</LinksUpToDate>
  <CharactersWithSpaces>110</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2019-01-04T08:37:00Z</dcterms:created>
  <dc:creator>用户吴国宏</dc:creator>
  <cp:lastModifiedBy>Administrator</cp:lastModifiedBy>
  <dcterms:modified xsi:type="dcterms:W3CDTF">2024-10-25T06:43:58Z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C433CB1DCD0D414A8E8C6B6A5D492F16</vt:lpwstr>
  </property>
</Properties>
</file>