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beforeAutospacing="0" w:line="600" w:lineRule="exact"/>
        <w:ind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中国人民政治协商会议云南省陇川县委员会办公室</w:t>
      </w:r>
      <w:r>
        <w:rPr>
          <w:rFonts w:hint="default" w:ascii="Times New Roman" w:hAnsi="Times New Roman" w:eastAsia="方正小标宋_GBK" w:cs="Times New Roman"/>
          <w:sz w:val="44"/>
          <w:szCs w:val="44"/>
        </w:rPr>
        <w:t>2020年部门预算项目公开</w:t>
      </w:r>
    </w:p>
    <w:p>
      <w:pPr>
        <w:keepNext w:val="0"/>
        <w:keepLines w:val="0"/>
        <w:pageBreakBefore w:val="0"/>
        <w:numPr>
          <w:ilvl w:val="0"/>
          <w:numId w:val="0"/>
        </w:numPr>
        <w:kinsoku/>
        <w:wordWrap/>
        <w:overflowPunct/>
        <w:topLinePunct w:val="0"/>
        <w:autoSpaceDE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项目概述</w:t>
      </w:r>
    </w:p>
    <w:p>
      <w:pPr>
        <w:keepNext w:val="0"/>
        <w:keepLines w:val="0"/>
        <w:pageBreakBefore w:val="0"/>
        <w:kinsoku/>
        <w:wordWrap/>
        <w:overflowPunct/>
        <w:topLinePunct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）项目名称：1.政协专委调研经费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处级领导基金、</w:t>
      </w:r>
      <w:r>
        <w:rPr>
          <w:rFonts w:hint="default" w:ascii="Times New Roman" w:hAnsi="Times New Roman" w:eastAsia="方正仿宋_GBK" w:cs="Times New Roman"/>
          <w:sz w:val="32"/>
          <w:szCs w:val="32"/>
        </w:rPr>
        <w:t>3.对外交流工作经费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4.乡镇联络委工作经费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5.政协常委会组成人员</w:t>
      </w:r>
      <w:r>
        <w:rPr>
          <w:rFonts w:hint="default" w:ascii="Times New Roman" w:hAnsi="Times New Roman" w:eastAsia="方正仿宋_GBK" w:cs="Times New Roman"/>
          <w:sz w:val="32"/>
          <w:szCs w:val="32"/>
          <w:lang w:eastAsia="zh-CN"/>
        </w:rPr>
        <w:t>履职</w:t>
      </w:r>
      <w:r>
        <w:rPr>
          <w:rFonts w:hint="default" w:ascii="Times New Roman" w:hAnsi="Times New Roman" w:eastAsia="方正仿宋_GBK" w:cs="Times New Roman"/>
          <w:sz w:val="32"/>
          <w:szCs w:val="32"/>
        </w:rPr>
        <w:t>经费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6.政协委员活动经费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7.政协提案办理专项经费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8.政协期刊编辑出版经费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9.公用经费、10.公务用车购置。预算项目全部为2020年陇川县政协机关正常运转所需行政事业性项目经费。</w:t>
      </w:r>
    </w:p>
    <w:p>
      <w:pPr>
        <w:keepNext w:val="0"/>
        <w:keepLines w:val="0"/>
        <w:pageBreakBefore w:val="0"/>
        <w:kinsoku/>
        <w:wordWrap/>
        <w:overflowPunct/>
        <w:topLinePunct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地址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中国人民政治协商会议云南省陇川县委员会办公室。</w:t>
      </w:r>
    </w:p>
    <w:p>
      <w:pPr>
        <w:keepNext w:val="0"/>
        <w:keepLines w:val="0"/>
        <w:pageBreakBefore w:val="0"/>
        <w:numPr>
          <w:ilvl w:val="0"/>
          <w:numId w:val="0"/>
        </w:numPr>
        <w:kinsoku/>
        <w:wordWrap/>
        <w:overflowPunct/>
        <w:topLinePunct w:val="0"/>
        <w:autoSpaceDE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二、立项依据</w:t>
      </w:r>
    </w:p>
    <w:p>
      <w:pPr>
        <w:keepNext w:val="0"/>
        <w:keepLines w:val="0"/>
        <w:pageBreakBefore w:val="0"/>
        <w:kinsoku/>
        <w:wordWrap/>
        <w:overflowPunct/>
        <w:topLinePunct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十一届县委第46次</w:t>
      </w:r>
      <w:bookmarkStart w:id="0" w:name="_GoBack"/>
      <w:bookmarkEnd w:id="0"/>
      <w:r>
        <w:rPr>
          <w:rFonts w:hint="eastAsia" w:ascii="Times New Roman" w:hAnsi="Times New Roman" w:cs="Times New Roman"/>
          <w:sz w:val="32"/>
          <w:szCs w:val="32"/>
          <w:lang w:eastAsia="zh-CN"/>
        </w:rPr>
        <w:t>常委会会议</w:t>
      </w:r>
      <w:r>
        <w:rPr>
          <w:rFonts w:hint="default" w:ascii="Times New Roman" w:hAnsi="Times New Roman" w:eastAsia="方正仿宋_GBK" w:cs="Times New Roman"/>
          <w:sz w:val="32"/>
          <w:szCs w:val="32"/>
        </w:rPr>
        <w:t>纪要（第8期）、中共陇川县委关于加强人民政协协商民主建设的实施意见（陇发[2015]20号）、十二届县委第26次</w:t>
      </w:r>
      <w:r>
        <w:rPr>
          <w:rFonts w:hint="eastAsia" w:ascii="Times New Roman" w:hAnsi="Times New Roman" w:cs="Times New Roman"/>
          <w:sz w:val="32"/>
          <w:szCs w:val="32"/>
          <w:lang w:eastAsia="zh-CN"/>
        </w:rPr>
        <w:t>常委会会议</w:t>
      </w:r>
      <w:r>
        <w:rPr>
          <w:rFonts w:hint="default" w:ascii="Times New Roman" w:hAnsi="Times New Roman" w:eastAsia="方正仿宋_GBK" w:cs="Times New Roman"/>
          <w:sz w:val="32"/>
          <w:szCs w:val="32"/>
        </w:rPr>
        <w:t>纪要（第15期）。</w:t>
      </w:r>
    </w:p>
    <w:p>
      <w:pPr>
        <w:keepNext w:val="0"/>
        <w:keepLines w:val="0"/>
        <w:pageBreakBefore w:val="0"/>
        <w:numPr>
          <w:ilvl w:val="0"/>
          <w:numId w:val="0"/>
        </w:numPr>
        <w:kinsoku/>
        <w:wordWrap/>
        <w:overflowPunct/>
        <w:topLinePunct w:val="0"/>
        <w:autoSpaceDE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实施主体</w:t>
      </w:r>
    </w:p>
    <w:p>
      <w:pPr>
        <w:keepNext w:val="0"/>
        <w:keepLines w:val="0"/>
        <w:pageBreakBefore w:val="0"/>
        <w:kinsoku/>
        <w:wordWrap/>
        <w:overflowPunct/>
        <w:topLinePunct w:val="0"/>
        <w:autoSpaceDE w:val="0"/>
        <w:autoSpaceDN/>
        <w:bidi w:val="0"/>
        <w:adjustRightInd/>
        <w:snapToGrid/>
        <w:spacing w:beforeAutospacing="0" w:line="600" w:lineRule="exact"/>
        <w:ind w:right="0" w:rightChars="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中国人民政治协商会议云南省陇川县委员会办公室</w:t>
      </w:r>
    </w:p>
    <w:p>
      <w:pPr>
        <w:keepNext w:val="0"/>
        <w:keepLines w:val="0"/>
        <w:pageBreakBefore w:val="0"/>
        <w:numPr>
          <w:ilvl w:val="0"/>
          <w:numId w:val="0"/>
        </w:numPr>
        <w:kinsoku/>
        <w:wordWrap/>
        <w:overflowPunct/>
        <w:topLinePunct w:val="0"/>
        <w:autoSpaceDE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四、实施方案</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600" w:lineRule="exact"/>
        <w:ind w:leftChars="200" w:right="0" w:rightChars="0"/>
        <w:jc w:val="both"/>
        <w:textAlignment w:val="auto"/>
        <w:outlineLvl w:val="9"/>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项目可行性</w:t>
      </w:r>
    </w:p>
    <w:p>
      <w:pPr>
        <w:keepNext w:val="0"/>
        <w:keepLines w:val="0"/>
        <w:pageBreakBefore w:val="0"/>
        <w:kinsoku/>
        <w:wordWrap/>
        <w:overflowPunct/>
        <w:topLinePunct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1、项目建设符合</w:t>
      </w:r>
      <w:r>
        <w:rPr>
          <w:rFonts w:hint="default" w:ascii="Times New Roman" w:hAnsi="Times New Roman" w:eastAsia="方正仿宋_GBK" w:cs="Times New Roman"/>
          <w:sz w:val="32"/>
          <w:szCs w:val="32"/>
        </w:rPr>
        <w:t>十一届县委第46次</w:t>
      </w:r>
      <w:r>
        <w:rPr>
          <w:rFonts w:hint="eastAsia" w:ascii="Times New Roman" w:hAnsi="Times New Roman" w:cs="Times New Roman"/>
          <w:sz w:val="32"/>
          <w:szCs w:val="32"/>
          <w:lang w:eastAsia="zh-CN"/>
        </w:rPr>
        <w:t>常委会会议</w:t>
      </w:r>
      <w:r>
        <w:rPr>
          <w:rFonts w:hint="default" w:ascii="Times New Roman" w:hAnsi="Times New Roman" w:eastAsia="方正仿宋_GBK" w:cs="Times New Roman"/>
          <w:sz w:val="32"/>
          <w:szCs w:val="32"/>
        </w:rPr>
        <w:t>纪要（第8期）、中共陇川县委关于加强人民政协协商民主建设的实施意见（陇发[2015]20号）、十二届县委第26次</w:t>
      </w:r>
      <w:r>
        <w:rPr>
          <w:rFonts w:hint="eastAsia" w:ascii="Times New Roman" w:hAnsi="Times New Roman" w:cs="Times New Roman"/>
          <w:sz w:val="32"/>
          <w:szCs w:val="32"/>
          <w:lang w:eastAsia="zh-CN"/>
        </w:rPr>
        <w:t>常委会会议</w:t>
      </w:r>
      <w:r>
        <w:rPr>
          <w:rFonts w:hint="default" w:ascii="Times New Roman" w:hAnsi="Times New Roman" w:eastAsia="方正仿宋_GBK" w:cs="Times New Roman"/>
          <w:sz w:val="32"/>
          <w:szCs w:val="32"/>
        </w:rPr>
        <w:t>纪要（第15期）</w:t>
      </w:r>
      <w:r>
        <w:rPr>
          <w:rFonts w:hint="default" w:ascii="Times New Roman" w:hAnsi="Times New Roman" w:eastAsia="方正仿宋_GBK" w:cs="Times New Roman"/>
          <w:sz w:val="32"/>
          <w:szCs w:val="32"/>
          <w:lang w:eastAsia="zh-CN"/>
        </w:rPr>
        <w:t>等文件</w:t>
      </w:r>
      <w:r>
        <w:rPr>
          <w:rFonts w:hint="default" w:ascii="Times New Roman" w:hAnsi="Times New Roman" w:eastAsia="方正仿宋_GBK" w:cs="Times New Roman"/>
          <w:sz w:val="32"/>
          <w:szCs w:val="32"/>
          <w:lang w:val="en-US" w:eastAsia="zh-CN"/>
        </w:rPr>
        <w:t>精神</w:t>
      </w:r>
      <w:r>
        <w:rPr>
          <w:rFonts w:hint="eastAsia" w:ascii="Times New Roman" w:hAnsi="Times New Roman"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项目建设注重发挥社会效益。今年是全面建成小康社会的决胜之年，是实现第一个百年奋斗目标的关键之年，是收官“十三五”、布局“十四五”承上启下之年，也是实现未来三年发展目标的“重大项目攻坚年”。县政协、政协各参加单位和广大政协委员以习近平新时代中国特色社会主义思想为指导，全面贯彻中共十九大和十九届二中、三中、四中全会及中央政协工作会议精神，认真贯彻落实中国共产党陇川县第十二届代表大会第五次会议的决策部署，紧紧围绕“一年重点突破，两年全面提升，三年经济发展翻一番，实现高质量跨越式发展”目标和“334”发展思路，切实加强党对政协工作的全面领导，发挥政协专门协商机构作用，加强思想政治引领，加强履职能力建设，强化委员责任担当，不断提高政治协商、民主监督、参政议政水平。</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600" w:lineRule="exact"/>
        <w:ind w:leftChars="200" w:right="0" w:rightChars="0"/>
        <w:jc w:val="both"/>
        <w:textAlignment w:val="auto"/>
        <w:outlineLvl w:val="9"/>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总体思路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立足当前，着眼未来。</w:t>
      </w:r>
      <w:r>
        <w:rPr>
          <w:rFonts w:hint="default" w:ascii="Times New Roman" w:hAnsi="Times New Roman" w:eastAsia="方正仿宋_GBK" w:cs="Times New Roman"/>
          <w:sz w:val="32"/>
          <w:szCs w:val="32"/>
          <w:lang w:eastAsia="zh-CN"/>
        </w:rPr>
        <w:t>县政协、政协各参加单位和广大政协委员以习近平新时代中国特色社会主义思想为指导，全面贯彻中共十九大和十九届二中、三中、四中全会及中央政协工作会议精神，认真贯彻落实中国共产党陇川县第十二届代表大会第五次会议的决策部署，紧紧围绕“一年重点突破，两年全面提升，三年经济发展翻一番，实现高质量跨越式发展”目标和“334”发展思路</w:t>
      </w:r>
      <w:r>
        <w:rPr>
          <w:rFonts w:hint="eastAsia" w:ascii="Times New Roman" w:hAnsi="Times New Roman"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600" w:lineRule="exact"/>
        <w:ind w:leftChars="200" w:right="0" w:rightChars="0"/>
        <w:jc w:val="both"/>
        <w:textAlignment w:val="auto"/>
        <w:outlineLvl w:val="9"/>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实施方式</w:t>
      </w:r>
    </w:p>
    <w:p>
      <w:pPr>
        <w:keepNext w:val="0"/>
        <w:keepLines w:val="0"/>
        <w:pageBreakBefore w:val="0"/>
        <w:kinsoku/>
        <w:wordWrap/>
        <w:overflowPunct/>
        <w:topLinePunct w:val="0"/>
        <w:autoSpaceDN/>
        <w:bidi w:val="0"/>
        <w:adjustRightInd/>
        <w:snapToGrid/>
        <w:spacing w:beforeAutospacing="0" w:after="156" w:afterLines="50" w:line="600" w:lineRule="exact"/>
        <w:ind w:right="0" w:rightChars="0" w:firstLine="640" w:firstLineChars="200"/>
        <w:textAlignment w:val="auto"/>
        <w:rPr>
          <w:rFonts w:hint="default" w:ascii="Times New Roman" w:hAnsi="Times New Roman" w:eastAsia="仿宋" w:cs="Times New Roman"/>
          <w:sz w:val="30"/>
          <w:szCs w:val="30"/>
          <w:lang w:eastAsia="zh-CN"/>
        </w:rPr>
      </w:pPr>
      <w:r>
        <w:rPr>
          <w:rFonts w:hint="default" w:ascii="Times New Roman" w:hAnsi="Times New Roman" w:eastAsia="方正仿宋_GBK" w:cs="Times New Roman"/>
          <w:sz w:val="32"/>
          <w:szCs w:val="32"/>
          <w:lang w:val="en-US" w:eastAsia="zh-CN"/>
        </w:rPr>
        <w:t>2020年本单位的财政支出所有</w:t>
      </w:r>
      <w:r>
        <w:rPr>
          <w:rFonts w:hint="eastAsia" w:ascii="Times New Roman" w:hAnsi="Times New Roman" w:cs="Times New Roman"/>
          <w:sz w:val="32"/>
          <w:szCs w:val="32"/>
          <w:lang w:val="en-US" w:eastAsia="zh-CN"/>
        </w:rPr>
        <w:t>预算</w:t>
      </w:r>
      <w:r>
        <w:rPr>
          <w:rFonts w:hint="default" w:ascii="Times New Roman" w:hAnsi="Times New Roman" w:eastAsia="方正仿宋_GBK" w:cs="Times New Roman"/>
          <w:sz w:val="32"/>
          <w:szCs w:val="32"/>
          <w:lang w:val="en-US" w:eastAsia="zh-CN"/>
        </w:rPr>
        <w:t>项目均采用财政安排预算方式实施。</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600" w:lineRule="exact"/>
        <w:ind w:leftChars="200" w:right="0" w:rightChars="0"/>
        <w:jc w:val="both"/>
        <w:textAlignment w:val="auto"/>
        <w:outlineLvl w:val="9"/>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预期成果</w:t>
      </w:r>
    </w:p>
    <w:p>
      <w:pPr>
        <w:keepNext w:val="0"/>
        <w:keepLines w:val="0"/>
        <w:pageBreakBefore w:val="0"/>
        <w:kinsoku/>
        <w:wordWrap/>
        <w:overflowPunct/>
        <w:topLinePunct w:val="0"/>
        <w:autoSpaceDN/>
        <w:bidi w:val="0"/>
        <w:adjustRightInd/>
        <w:snapToGrid/>
        <w:spacing w:beforeAutospacing="0" w:after="156" w:afterLines="50" w:line="600" w:lineRule="exact"/>
        <w:ind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项目的实施</w:t>
      </w:r>
      <w:r>
        <w:rPr>
          <w:rFonts w:hint="eastAsia" w:ascii="Times New Roman" w:hAnsi="Times New Roman" w:cs="Times New Roman"/>
          <w:sz w:val="32"/>
          <w:szCs w:val="32"/>
          <w:lang w:val="en-US" w:eastAsia="zh-CN"/>
        </w:rPr>
        <w:t>能够更好地</w:t>
      </w:r>
      <w:r>
        <w:rPr>
          <w:rFonts w:hint="default" w:ascii="Times New Roman" w:hAnsi="Times New Roman" w:eastAsia="方正仿宋_GBK" w:cs="Times New Roman"/>
          <w:sz w:val="32"/>
          <w:szCs w:val="32"/>
          <w:lang w:val="en-US" w:eastAsia="zh-CN"/>
        </w:rPr>
        <w:t>贯彻落实党的各项方针政策，紧紧围绕</w:t>
      </w:r>
      <w:r>
        <w:rPr>
          <w:rFonts w:hint="eastAsia" w:ascii="Times New Roman" w:hAnsi="Times New Roman" w:cs="Times New Roman"/>
          <w:sz w:val="32"/>
          <w:szCs w:val="32"/>
          <w:lang w:val="en-US" w:eastAsia="zh-CN"/>
        </w:rPr>
        <w:t>县委县政府</w:t>
      </w:r>
      <w:r>
        <w:rPr>
          <w:rFonts w:hint="default" w:ascii="Times New Roman" w:hAnsi="Times New Roman" w:eastAsia="方正仿宋_GBK" w:cs="Times New Roman"/>
          <w:sz w:val="32"/>
          <w:szCs w:val="32"/>
          <w:lang w:val="en-US" w:eastAsia="zh-CN"/>
        </w:rPr>
        <w:t>“一年重点突破，两年全面提升，三年经济发展翻一番，实现高质量跨越式发展”目标和“334”发展思路，发挥政协专门协商机构作用，加强思想政治引领，加强履职能力建设，强化委员责任担当，不断提高政治协商、民主监督、参政议政水平。</w:t>
      </w:r>
    </w:p>
    <w:p>
      <w:pPr>
        <w:keepNext w:val="0"/>
        <w:keepLines w:val="0"/>
        <w:pageBreakBefore w:val="0"/>
        <w:numPr>
          <w:ilvl w:val="0"/>
          <w:numId w:val="2"/>
        </w:numPr>
        <w:kinsoku/>
        <w:wordWrap/>
        <w:overflowPunct/>
        <w:topLinePunct w:val="0"/>
        <w:autoSpaceDE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实施周期</w:t>
      </w:r>
    </w:p>
    <w:p>
      <w:pPr>
        <w:keepNext w:val="0"/>
        <w:keepLines w:val="0"/>
        <w:pageBreakBefore w:val="0"/>
        <w:kinsoku/>
        <w:wordWrap/>
        <w:overflowPunct/>
        <w:topLinePunct w:val="0"/>
        <w:autoSpaceDN/>
        <w:bidi w:val="0"/>
        <w:adjustRightInd/>
        <w:snapToGrid/>
        <w:spacing w:beforeAutospacing="0" w:after="156" w:afterLines="50" w:line="600" w:lineRule="exact"/>
        <w:ind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2020年1月1日—2020年12月31日</w:t>
      </w:r>
    </w:p>
    <w:p>
      <w:pPr>
        <w:keepNext w:val="0"/>
        <w:keepLines w:val="0"/>
        <w:pageBreakBefore w:val="0"/>
        <w:numPr>
          <w:ilvl w:val="0"/>
          <w:numId w:val="2"/>
        </w:numPr>
        <w:kinsoku/>
        <w:wordWrap/>
        <w:overflowPunct/>
        <w:topLinePunct w:val="0"/>
        <w:autoSpaceDE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本年度预算安排</w:t>
      </w:r>
    </w:p>
    <w:p>
      <w:pPr>
        <w:keepNext w:val="0"/>
        <w:keepLines w:val="0"/>
        <w:pageBreakBefore w:val="0"/>
        <w:kinsoku/>
        <w:wordWrap/>
        <w:overflowPunct/>
        <w:topLinePunct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本年度预算安排为263.76万元</w:t>
      </w:r>
      <w:r>
        <w:rPr>
          <w:rFonts w:hint="eastAsia" w:ascii="Times New Roman" w:hAnsi="Times New Roman" w:cs="Times New Roman"/>
          <w:sz w:val="32"/>
          <w:szCs w:val="32"/>
          <w:lang w:val="en-US" w:eastAsia="zh-CN"/>
        </w:rPr>
        <w:t>，其中，</w:t>
      </w:r>
      <w:r>
        <w:rPr>
          <w:rFonts w:hint="default" w:ascii="Times New Roman" w:hAnsi="Times New Roman" w:eastAsia="方正仿宋_GBK" w:cs="Times New Roman"/>
          <w:sz w:val="32"/>
          <w:szCs w:val="32"/>
        </w:rPr>
        <w:t>政协专委调研经费</w:t>
      </w:r>
      <w:r>
        <w:rPr>
          <w:rFonts w:hint="eastAsia" w:ascii="Times New Roman" w:hAnsi="Times New Roman" w:cs="Times New Roman"/>
          <w:sz w:val="32"/>
          <w:szCs w:val="32"/>
          <w:lang w:val="en-US" w:eastAsia="zh-CN"/>
        </w:rPr>
        <w:t>6万元；</w:t>
      </w:r>
      <w:r>
        <w:rPr>
          <w:rFonts w:hint="default" w:ascii="Times New Roman" w:hAnsi="Times New Roman" w:eastAsia="方正仿宋_GBK" w:cs="Times New Roman"/>
          <w:sz w:val="32"/>
          <w:szCs w:val="32"/>
          <w:lang w:eastAsia="zh-CN"/>
        </w:rPr>
        <w:t>处级领导基金</w:t>
      </w:r>
      <w:r>
        <w:rPr>
          <w:rFonts w:hint="eastAsia" w:ascii="Times New Roman" w:hAnsi="Times New Roman" w:cs="Times New Roman"/>
          <w:sz w:val="32"/>
          <w:szCs w:val="32"/>
          <w:lang w:val="en-US" w:eastAsia="zh-CN"/>
        </w:rPr>
        <w:t>48万元；</w:t>
      </w:r>
      <w:r>
        <w:rPr>
          <w:rFonts w:hint="default" w:ascii="Times New Roman" w:hAnsi="Times New Roman" w:eastAsia="方正仿宋_GBK" w:cs="Times New Roman"/>
          <w:sz w:val="32"/>
          <w:szCs w:val="32"/>
        </w:rPr>
        <w:t>对外交流工作经费</w:t>
      </w:r>
      <w:r>
        <w:rPr>
          <w:rFonts w:hint="eastAsia" w:ascii="Times New Roman" w:hAnsi="Times New Roman" w:cs="Times New Roman"/>
          <w:sz w:val="32"/>
          <w:szCs w:val="32"/>
          <w:lang w:val="en-US" w:eastAsia="zh-CN"/>
        </w:rPr>
        <w:t>5万元；</w:t>
      </w:r>
      <w:r>
        <w:rPr>
          <w:rFonts w:hint="default" w:ascii="Times New Roman" w:hAnsi="Times New Roman" w:eastAsia="方正仿宋_GBK" w:cs="Times New Roman"/>
          <w:sz w:val="32"/>
          <w:szCs w:val="32"/>
        </w:rPr>
        <w:t>乡镇联络委工作经费</w:t>
      </w:r>
      <w:r>
        <w:rPr>
          <w:rFonts w:hint="eastAsia" w:ascii="Times New Roman" w:hAnsi="Times New Roman" w:cs="Times New Roman"/>
          <w:sz w:val="32"/>
          <w:szCs w:val="32"/>
          <w:lang w:val="en-US" w:eastAsia="zh-CN"/>
        </w:rPr>
        <w:t>10万元；</w:t>
      </w:r>
      <w:r>
        <w:rPr>
          <w:rFonts w:hint="default" w:ascii="Times New Roman" w:hAnsi="Times New Roman" w:eastAsia="方正仿宋_GBK" w:cs="Times New Roman"/>
          <w:sz w:val="32"/>
          <w:szCs w:val="32"/>
        </w:rPr>
        <w:t>政协常委会组成人员</w:t>
      </w:r>
      <w:r>
        <w:rPr>
          <w:rFonts w:hint="default" w:ascii="Times New Roman" w:hAnsi="Times New Roman" w:eastAsia="方正仿宋_GBK" w:cs="Times New Roman"/>
          <w:sz w:val="32"/>
          <w:szCs w:val="32"/>
          <w:lang w:eastAsia="zh-CN"/>
        </w:rPr>
        <w:t>履职</w:t>
      </w:r>
      <w:r>
        <w:rPr>
          <w:rFonts w:hint="default" w:ascii="Times New Roman" w:hAnsi="Times New Roman" w:eastAsia="方正仿宋_GBK" w:cs="Times New Roman"/>
          <w:sz w:val="32"/>
          <w:szCs w:val="32"/>
        </w:rPr>
        <w:t>经费</w:t>
      </w:r>
      <w:r>
        <w:rPr>
          <w:rFonts w:hint="eastAsia" w:ascii="Times New Roman" w:hAnsi="Times New Roman" w:cs="Times New Roman"/>
          <w:sz w:val="32"/>
          <w:szCs w:val="32"/>
          <w:lang w:val="en-US" w:eastAsia="zh-CN"/>
        </w:rPr>
        <w:t>8.96万元；</w:t>
      </w:r>
      <w:r>
        <w:rPr>
          <w:rFonts w:hint="default" w:ascii="Times New Roman" w:hAnsi="Times New Roman" w:eastAsia="方正仿宋_GBK" w:cs="Times New Roman"/>
          <w:sz w:val="32"/>
          <w:szCs w:val="32"/>
        </w:rPr>
        <w:t>政协委员活动经费</w:t>
      </w:r>
      <w:r>
        <w:rPr>
          <w:rFonts w:hint="eastAsia" w:ascii="Times New Roman" w:hAnsi="Times New Roman" w:cs="Times New Roman"/>
          <w:sz w:val="32"/>
          <w:szCs w:val="32"/>
          <w:lang w:val="en-US" w:eastAsia="zh-CN"/>
        </w:rPr>
        <w:t>31.8万元；</w:t>
      </w:r>
      <w:r>
        <w:rPr>
          <w:rFonts w:hint="default" w:ascii="Times New Roman" w:hAnsi="Times New Roman" w:eastAsia="方正仿宋_GBK" w:cs="Times New Roman"/>
          <w:sz w:val="32"/>
          <w:szCs w:val="32"/>
        </w:rPr>
        <w:t>政协提案办理专项经费</w:t>
      </w:r>
      <w:r>
        <w:rPr>
          <w:rFonts w:hint="eastAsia" w:ascii="Times New Roman" w:hAnsi="Times New Roman" w:cs="Times New Roman"/>
          <w:sz w:val="32"/>
          <w:szCs w:val="32"/>
          <w:lang w:val="en-US" w:eastAsia="zh-CN"/>
        </w:rPr>
        <w:t>100万元；</w:t>
      </w:r>
      <w:r>
        <w:rPr>
          <w:rFonts w:hint="default" w:ascii="Times New Roman" w:hAnsi="Times New Roman" w:eastAsia="方正仿宋_GBK" w:cs="Times New Roman"/>
          <w:sz w:val="32"/>
          <w:szCs w:val="32"/>
        </w:rPr>
        <w:t>政协期刊编辑出版经费</w:t>
      </w:r>
      <w:r>
        <w:rPr>
          <w:rFonts w:hint="eastAsia" w:ascii="Times New Roman" w:hAnsi="Times New Roman" w:cs="Times New Roman"/>
          <w:sz w:val="32"/>
          <w:szCs w:val="32"/>
          <w:lang w:val="en-US" w:eastAsia="zh-CN"/>
        </w:rPr>
        <w:t>5万元；</w:t>
      </w:r>
      <w:r>
        <w:rPr>
          <w:rFonts w:hint="default" w:ascii="Times New Roman" w:hAnsi="Times New Roman" w:eastAsia="方正仿宋_GBK" w:cs="Times New Roman"/>
          <w:sz w:val="32"/>
          <w:szCs w:val="32"/>
          <w:lang w:val="en-US" w:eastAsia="zh-CN"/>
        </w:rPr>
        <w:t>公用经费</w:t>
      </w:r>
      <w:r>
        <w:rPr>
          <w:rFonts w:hint="eastAsia" w:ascii="Times New Roman" w:hAnsi="Times New Roman" w:cs="Times New Roman"/>
          <w:sz w:val="32"/>
          <w:szCs w:val="32"/>
          <w:lang w:val="en-US" w:eastAsia="zh-CN"/>
        </w:rPr>
        <w:t>31万元；</w:t>
      </w:r>
      <w:r>
        <w:rPr>
          <w:rFonts w:hint="default" w:ascii="Times New Roman" w:hAnsi="Times New Roman" w:eastAsia="方正仿宋_GBK" w:cs="Times New Roman"/>
          <w:sz w:val="32"/>
          <w:szCs w:val="32"/>
          <w:lang w:val="en-US" w:eastAsia="zh-CN"/>
        </w:rPr>
        <w:t>公务用车</w:t>
      </w:r>
      <w:r>
        <w:rPr>
          <w:rFonts w:hint="eastAsia" w:ascii="Times New Roman" w:hAnsi="Times New Roman" w:cs="Times New Roman"/>
          <w:sz w:val="32"/>
          <w:szCs w:val="32"/>
          <w:lang w:val="en-US" w:eastAsia="zh-CN"/>
        </w:rPr>
        <w:t>购置18万元。</w:t>
      </w:r>
    </w:p>
    <w:p>
      <w:pPr>
        <w:keepNext w:val="0"/>
        <w:keepLines w:val="0"/>
        <w:pageBreakBefore w:val="0"/>
        <w:numPr>
          <w:ilvl w:val="0"/>
          <w:numId w:val="0"/>
        </w:numPr>
        <w:kinsoku/>
        <w:wordWrap/>
        <w:overflowPunct/>
        <w:topLinePunct w:val="0"/>
        <w:autoSpaceDE w:val="0"/>
        <w:autoSpaceDN/>
        <w:bidi w:val="0"/>
        <w:adjustRightInd/>
        <w:snapToGrid/>
        <w:spacing w:beforeAutospacing="0" w:line="600" w:lineRule="exact"/>
        <w:ind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七、绩效目标和指标</w:t>
      </w:r>
    </w:p>
    <w:p>
      <w:pPr>
        <w:pStyle w:val="8"/>
        <w:keepNext w:val="0"/>
        <w:keepLines w:val="0"/>
        <w:pageBreakBefore w:val="0"/>
        <w:kinsoku/>
        <w:wordWrap/>
        <w:overflowPunct/>
        <w:topLinePunct w:val="0"/>
        <w:autoSpaceDN/>
        <w:bidi w:val="0"/>
        <w:adjustRightInd/>
        <w:snapToGrid/>
        <w:spacing w:before="0" w:beforeAutospacing="0" w:line="600" w:lineRule="exact"/>
        <w:ind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shd w:val="clear" w:color="auto" w:fill="FFFFFF"/>
        </w:rPr>
        <w:t>项目绩效总目标：规范政府投资行为，健全科学的投资决策、建设和监督管理制度，提高政府投资效益 。项目绩效阶段性目标：加强制度建设，对项目进行全过程管理，为项目健康高效的运行提供保障。</w:t>
      </w: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keepNext w:val="0"/>
        <w:keepLines w:val="0"/>
        <w:widowControl/>
        <w:suppressLineNumbers w:val="0"/>
        <w:jc w:val="both"/>
        <w:textAlignment w:val="center"/>
        <w:rPr>
          <w:rFonts w:hint="default" w:ascii="Times New Roman" w:hAnsi="Times New Roman" w:eastAsia="宋体" w:cs="Times New Roman"/>
          <w:b/>
          <w:i w:val="0"/>
          <w:color w:val="000000"/>
          <w:kern w:val="0"/>
          <w:sz w:val="36"/>
          <w:szCs w:val="36"/>
          <w:u w:val="none"/>
          <w:lang w:val="en-US" w:eastAsia="zh-CN" w:bidi="ar"/>
        </w:rPr>
        <w:sectPr>
          <w:pgSz w:w="11906" w:h="16838"/>
          <w:pgMar w:top="1440" w:right="1800" w:bottom="1440" w:left="1800" w:header="851" w:footer="992" w:gutter="0"/>
          <w:cols w:space="425" w:num="1"/>
          <w:docGrid w:type="lines" w:linePitch="312" w:charSpace="0"/>
        </w:sectPr>
      </w:pPr>
    </w:p>
    <w:tbl>
      <w:tblPr>
        <w:tblStyle w:val="4"/>
        <w:tblW w:w="15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5"/>
        <w:gridCol w:w="885"/>
        <w:gridCol w:w="1200"/>
        <w:gridCol w:w="1890"/>
        <w:gridCol w:w="3255"/>
        <w:gridCol w:w="5565"/>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5060" w:type="dxa"/>
            <w:gridSpan w:val="7"/>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kern w:val="0"/>
                <w:sz w:val="36"/>
                <w:szCs w:val="36"/>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b/>
                <w:i w:val="0"/>
                <w:color w:val="000000"/>
                <w:sz w:val="36"/>
                <w:szCs w:val="36"/>
                <w:u w:val="none"/>
              </w:rPr>
            </w:pPr>
            <w:r>
              <w:rPr>
                <w:rFonts w:hint="default" w:ascii="Times New Roman" w:hAnsi="Times New Roman" w:eastAsia="宋体" w:cs="Times New Roman"/>
                <w:b/>
                <w:i w:val="0"/>
                <w:color w:val="000000"/>
                <w:kern w:val="0"/>
                <w:sz w:val="36"/>
                <w:szCs w:val="36"/>
                <w:u w:val="none"/>
                <w:lang w:val="en-US" w:eastAsia="zh-CN" w:bidi="ar"/>
              </w:rPr>
              <w:t>项目支出绩效评价共性指标体系框架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15060" w:type="dxa"/>
            <w:gridSpan w:val="7"/>
            <w:tcBorders>
              <w:bottom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制表单位：中国人民政治协商会议云南省陇川县委员会办公室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一级</w:t>
            </w:r>
            <w:r>
              <w:rPr>
                <w:rFonts w:hint="default" w:ascii="Times New Roman" w:hAnsi="Times New Roman" w:eastAsia="楷体_GB2312" w:cs="Times New Roman"/>
                <w:b/>
                <w:i w:val="0"/>
                <w:color w:val="000000"/>
                <w:kern w:val="0"/>
                <w:sz w:val="20"/>
                <w:szCs w:val="20"/>
                <w:u w:val="none"/>
                <w:lang w:val="en-US" w:eastAsia="zh-CN" w:bidi="ar"/>
              </w:rPr>
              <w:br w:type="textWrapping"/>
            </w:r>
            <w:r>
              <w:rPr>
                <w:rFonts w:hint="default" w:ascii="Times New Roman" w:hAnsi="Times New Roman" w:eastAsia="楷体_GB2312" w:cs="Times New Roman"/>
                <w:b/>
                <w:i w:val="0"/>
                <w:color w:val="000000"/>
                <w:kern w:val="0"/>
                <w:sz w:val="20"/>
                <w:szCs w:val="20"/>
                <w:u w:val="none"/>
                <w:lang w:val="en-US" w:eastAsia="zh-CN" w:bidi="ar"/>
              </w:rPr>
              <w:t>指标</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二级</w:t>
            </w:r>
            <w:r>
              <w:rPr>
                <w:rFonts w:hint="default" w:ascii="Times New Roman" w:hAnsi="Times New Roman" w:eastAsia="楷体_GB2312" w:cs="Times New Roman"/>
                <w:b/>
                <w:i w:val="0"/>
                <w:color w:val="000000"/>
                <w:kern w:val="0"/>
                <w:sz w:val="20"/>
                <w:szCs w:val="20"/>
                <w:u w:val="none"/>
                <w:lang w:val="en-US" w:eastAsia="zh-CN" w:bidi="ar"/>
              </w:rPr>
              <w:br w:type="textWrapping"/>
            </w:r>
            <w:r>
              <w:rPr>
                <w:rFonts w:hint="default" w:ascii="Times New Roman" w:hAnsi="Times New Roman" w:eastAsia="楷体_GB2312" w:cs="Times New Roman"/>
                <w:b/>
                <w:i w:val="0"/>
                <w:color w:val="000000"/>
                <w:kern w:val="0"/>
                <w:sz w:val="20"/>
                <w:szCs w:val="20"/>
                <w:u w:val="none"/>
                <w:lang w:val="en-US" w:eastAsia="zh-CN" w:bidi="ar"/>
              </w:rPr>
              <w:t>指标</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三级指标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指标解释</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指标说明</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绩效细化目标</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3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投   入</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立项</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项目立项规范性</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项目的申请、设立过程是否符合相关要求，用以反映和考核项目立项的规范情况。</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评价要点：</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①项目是否按照规定的程序申请设立；</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②所提交的文件、材料是否符合相关要求；</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③事前是否已经过必要的可行性研究、专家论证、风险评估、集体决策等。</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①项目严格按照规定的程序申请设立、手续完备合规，计2分。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②项目制定了切实可行的项目实施方案，目标明确、具体、适度，计3分。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绩效目标合理性</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项目所设定的绩效目标是否依据充分，是否符合客观实际，用以反映和考核项目绩效目标与项目实施的相符情况。</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评价要点：</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①是否符合国家相关法律法规、国民经济发展规划和党委政府决策；</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②是否与项目实施单位或委托单位职责密切相关；</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③项目是否为促进事业发展所必需；</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④项目预期产出效益和效果是否符合正常的业绩水平。</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①符合国家相关法律法规、国民经济发展规划和党委政府决策，计1分。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②与项目实施单位或委托单位职责密切相关计1分。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③项目为促进事业发展所必需，计3分。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④项目预期产出效益和效果符合正常的业绩水平，计1分。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绩效指标明确性</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依据绩效目标设定的绩效指标是否清晰、细化、可衡量等，用以反映和考核项目绩效目标的明细化情况。</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评价要点：</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①是否将项目绩效目标细化分解为具体的绩效指标；</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②是否通过清晰、可衡量的指标值予以体现；</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③是否与项目年度任务数或计划数相对应；</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④是否与预算确定的项目投资额或资金量相匹配。</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①将项目绩效目标细化分解为具体的绩效指标，且通过清晰、可衡量的指标值予以体现，计2分。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③与项目年度任务数或计划数相对应，计1分。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④与预算确定的项目投资额或资金量相匹配，计2分。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资金</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落实</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资金到位率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实际到位资金与计划投入资金的比率，用以反映和考核资金落实情况对项目实施的总体保障程度。</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资金到位率=（实际到位资金/计划投入资金）×100%。</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实际到位资金：一定时期（本年度或项目期）内实际落实到具体项目的资金。</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计划投入资金：一定时期（本年度或项目期）内计划投入到具体项目的资金。</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资金到位率=100%，计5分；90</w:t>
            </w:r>
            <w:r>
              <w:rPr>
                <w:rStyle w:val="12"/>
                <w:rFonts w:hint="default" w:ascii="Times New Roman" w:hAnsi="Times New Roman" w:eastAsia="楷体_GB2312" w:cs="Times New Roman"/>
                <w:lang w:val="en-US" w:eastAsia="zh-CN" w:bidi="ar"/>
              </w:rPr>
              <w:t>≤</w:t>
            </w:r>
            <w:r>
              <w:rPr>
                <w:rStyle w:val="13"/>
                <w:rFonts w:hint="default" w:ascii="Times New Roman" w:hAnsi="Times New Roman" w:cs="Times New Roman"/>
                <w:lang w:val="en-US" w:eastAsia="zh-CN" w:bidi="ar"/>
              </w:rPr>
              <w:t>资金到位率＜100%，计4分；50≤资金到位率＜90%，计3分；资金到位率＜50%，计0分。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到位及时率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及时到位资金与应到位资金的比率，用以反映和考核项目资金落实的及时性程度。</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到位及时率=（及时到位资金/应到位资金）×100%。</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及时到位资金：截至规定时点实际落实到具体项目的资金。</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应到位资金：按照合同或项目进度要求截至规定时点应落实到具体项目的资金。</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资金到位及时率=100%，计5分；90</w:t>
            </w:r>
            <w:r>
              <w:rPr>
                <w:rStyle w:val="12"/>
                <w:rFonts w:hint="default" w:ascii="Times New Roman" w:hAnsi="Times New Roman" w:eastAsia="楷体_GB2312" w:cs="Times New Roman"/>
                <w:lang w:val="en-US" w:eastAsia="zh-CN" w:bidi="ar"/>
              </w:rPr>
              <w:t>≤</w:t>
            </w:r>
            <w:r>
              <w:rPr>
                <w:rStyle w:val="13"/>
                <w:rFonts w:hint="default" w:ascii="Times New Roman" w:hAnsi="Times New Roman" w:cs="Times New Roman"/>
                <w:lang w:val="en-US" w:eastAsia="zh-CN" w:bidi="ar"/>
              </w:rPr>
              <w:t>资金到位及时率＜100%，计4分；50≤资金到位及时率＜90%，计3分；资金到位率＜50%，计0分。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5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过   程</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业务</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管理</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管理制度健全性</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项目实施单位的业务管理制度是否健全，用以反映和考核业务管理制度对项目顺利实施的保障情况。</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评价要点：</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①是否已制定或具有相应的业务管理制度；</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②业务管理制度是否合法、合规、完整。</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①已制定或具有相应的业务管理制度，计3分。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②业务管理制度合法、合规、完整，计2分。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3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制度执行有效性</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项目实施是否符合相关业务管理规定，用以反映和考核业务管理制度的有效执行情况。</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评价要点：</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①是否遵守相关法律法规和业务管理规定；</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②项目调整及支出调整手续是否完备；</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③项目合同书、验收报告、技术鉴定等资料是否齐全并及时归档；</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④项目实施的人员条件、场地设备、信息支撑等是否落实到位。</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①遵守相关法律法规和业务管理规定，计3分。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②项目调整及支出调整手续完备，计2分。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③项目合同书、验收报告、技术鉴定等资料齐全并及时归档，计3分。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④项目实施的人员条件、场地设备、信息支撑等落实到位，计2分。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项目质量可控性</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项目实施单位是否为达到项目质量要求而采取了必需的措施,用以反映和考核项目实施单位对项目质量的控制情况。</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评价要点：</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①是否已制定或具有相应的项目质量要求或标准；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②是否采取了相应的项目质量检查、验收等必需的控制措施或手段。</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①已制定或具有相应的项目质量要求或标准，计2分。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②采取了相应的项目质量检查、验收等必需的控制措施或手段，计3分。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9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过   程</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财务</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管理</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管理制度健全性</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项目实施单位的财务制度是否健全，用以反映和考核财务管理制度对资金规范、安全运行的保障情况。</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评价要点：</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①是否已制定或具有相应的项目资金管理办法；</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②项目资金管理办法是否符合相关财务会计制度的规定。</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①已制定或具有相应的项目资金管理办法，计5分。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②项目资金管理办法符合相关财务会计制度的规定，计5分。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1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资金使用合规性</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项目资金使用是否符合相关的财务管理制度规定，用以反映和考核项目资金的规范运行情况。</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评价要点：</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①是否符合国家财经法规和财务管理制度以及有关专项资金管理办法的规定；</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②资金的拨付是否有完整的审批程序和手续；</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③项目的重大开支是否经过评估认证；</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④是否符合项目预算批复或合同规定的用途；</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⑤是否存在截留、挤占、挪用、虚列支出等情况。</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①符合国家财经法规和财务管理制度以及有关专项资金管理办法的规定，计2分。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②资金的拨付有完整的审批程序和手续，计5分。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③符合项目预算批复或合同规定的用途，计2分。</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⑤不存在截留、挤占、挪用、虚列支出等情况，计6分。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财务监控有效性</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项目实施单位是否为保障资金的安全、规范运行而采取了必要的监控措施，用以反映和考核项目实施单位对资金运行的控制情况。</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评价要点：</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①是否已制定或具有相应的监控机制；</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②是否采取了相应的财务检查等必要的监控措施或手段。</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已制定或具有相应的监控机制，已采取了相应的财务检查等必要的监控措施或手段，计3分。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产   出</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产出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实际完成率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项目实施的实际产出数与计划产出数的比率，用以反映和考核项目产出数量目标的实现程度。</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实际完成率=（实际产出数/计划产出数）×100%。</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实际产出数：一定时期（本年度或项目期）内项目实际产出的产品或提供的服务数量。</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计划产出数：项目绩效目标确定的在一定时期（本年度或项目期）内计划产出的产品或提供的服务数量。</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实际完成率=100%，计2分；实际完成率≥95%，计1分；实际完成率＜95%，不得分。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5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完成及时率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项目实际提前完成时间与计划完成时间的比率，用以反映和考核项目产出时效目标的实现程度。</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完成及时率=[（计划完成时间-实际完成时间）/计划完成时间]×100%。</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实际完成时间：项目实施单位完成该项目实际所耗用的时间。</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计划完成时间：按照项目实施计划或相关规定完成该项目所需的时间。</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完成及时率=100%，计2分；完成及时率≥95%，计1分；完成及时率＜95%，不得分。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质量达标率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项目完成的质量达标产出数与实际产出数的比率，用以反映和考核项目产出质量目标的实现程度。</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质量达标率=（质量达标产出数/实际产出数）×100%。</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质量达标产出数：一定时期（本年度或项目期）内实际达到既定质量标准的产品或服务数量。</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既定质量标准是指项目实施单位设立绩效目标时依据计划标准、行业标准、历史标准或其他标准而设定的绩效指标值。</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质量达标率=100%，计2分；质量达标率≥95%，计1分；质量达标率＜95%，不得分。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5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成本节约率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完成项目计划工作目标的实际节约成本与计划成本的比率，用以反映和考核项目的成本节约程度。</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成本节约率=[（计划成本-实际成本）/计划成本]×100%。</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实际成本：项目实施单位如期、保质、保量完成既定工作目标实际所耗费的支出。</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计划成本：项目实施单位为完成工作目标计划安排的支出，一般以项目预算为参考。</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成本节约率=100%，得2分；成本节约率≥95%，得1分；成本节约率＜95%，不得分。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效   果</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w:t>
            </w:r>
            <w:r>
              <w:rPr>
                <w:rFonts w:hint="default" w:ascii="Times New Roman" w:hAnsi="Times New Roman" w:eastAsia="楷体_GB2312" w:cs="Times New Roman"/>
                <w:i w:val="0"/>
                <w:color w:val="000000"/>
                <w:kern w:val="0"/>
                <w:sz w:val="20"/>
                <w:szCs w:val="20"/>
                <w:u w:val="none"/>
                <w:lang w:val="en-US" w:eastAsia="zh-CN" w:bidi="ar"/>
              </w:rPr>
              <w:br w:type="textWrapping"/>
            </w:r>
            <w:r>
              <w:rPr>
                <w:rFonts w:hint="default" w:ascii="Times New Roman" w:hAnsi="Times New Roman" w:eastAsia="楷体_GB2312" w:cs="Times New Roman"/>
                <w:i w:val="0"/>
                <w:color w:val="000000"/>
                <w:kern w:val="0"/>
                <w:sz w:val="20"/>
                <w:szCs w:val="20"/>
                <w:u w:val="none"/>
                <w:lang w:val="en-US" w:eastAsia="zh-CN" w:bidi="ar"/>
              </w:rPr>
              <w:t>效益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经济效益</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项目实施对经济发展所带来的直接或间接影响情况。</w:t>
            </w:r>
          </w:p>
        </w:tc>
        <w:tc>
          <w:tcPr>
            <w:tcW w:w="32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此四项指标为设置项目支出绩效评价指标时必须考虑的共性要素，可根据项目实际并结合绩效目标设立情况有选择的进行设置，并将其细化为相应的个性化指标。</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经济效益，计2分。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社会效益</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项目实施对社会发展所带来的直接或间接影响情况。</w:t>
            </w: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楷体_GB2312" w:cs="Times New Roman"/>
                <w:i w:val="0"/>
                <w:color w:val="000000"/>
                <w:sz w:val="20"/>
                <w:szCs w:val="20"/>
                <w:u w:val="none"/>
              </w:rPr>
            </w:pP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社会效益，计2分。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生态效益</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项目实施对生态环境所带来的直接或间接影响情况。</w:t>
            </w: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楷体_GB2312" w:cs="Times New Roman"/>
                <w:i w:val="0"/>
                <w:color w:val="000000"/>
                <w:sz w:val="20"/>
                <w:szCs w:val="20"/>
                <w:u w:val="none"/>
              </w:rPr>
            </w:pP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生态效益，计2分。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可持续影响</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项目后续运行及成效发挥的可持续影响情况。</w:t>
            </w: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Times New Roman" w:hAnsi="Times New Roman" w:eastAsia="楷体_GB2312" w:cs="Times New Roman"/>
                <w:i w:val="0"/>
                <w:color w:val="000000"/>
                <w:sz w:val="20"/>
                <w:szCs w:val="20"/>
                <w:u w:val="none"/>
              </w:rPr>
            </w:pP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可持续影响，计2分。在县委领导下，2020年常委会将带领广大政协委员和政协各参加单位，坚持团结和民主两大主题，聚焦全县中心任务，充分发挥人民政协作为协商民主重要渠道和专门协商机构作用，认真履行政治协商、民主监督、参政议政职能，为促进陇川经济发展和社会和谐稳定作出了积极贡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rPr>
                <w:rFonts w:hint="default" w:ascii="Times New Roman" w:hAnsi="Times New Roman" w:eastAsia="楷体_GB2312" w:cs="Times New Roman"/>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楷体_GB2312" w:cs="Times New Roman"/>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社会公众或服务对象满意度</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社会公众或服务对象对项目实施效果的满意程度。</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社会公众或服务对象是指因该项目实施而受到影响的部门（单位）、群体或个人。一般采取社会调查的方式。</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社会公众满意度≥95%，计10分，80≤社会公众满意度＜95%，计8分；75≤社会公众满意度＜80%，计7分；60≤社会公众满意度＜75%，计5分；社会公众满意度＜60%，计0分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r>
    </w:tbl>
    <w:p>
      <w:pPr>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sectPr>
      <w:pgSz w:w="16838" w:h="11906" w:orient="landscape"/>
      <w:pgMar w:top="1803" w:right="1440" w:bottom="1803"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805A1"/>
    <w:multiLevelType w:val="singleLevel"/>
    <w:tmpl w:val="132805A1"/>
    <w:lvl w:ilvl="0" w:tentative="0">
      <w:start w:val="1"/>
      <w:numFmt w:val="chineseCounting"/>
      <w:suff w:val="nothing"/>
      <w:lvlText w:val="（%1）"/>
      <w:lvlJc w:val="left"/>
      <w:rPr>
        <w:rFonts w:hint="eastAsia"/>
      </w:rPr>
    </w:lvl>
  </w:abstractNum>
  <w:abstractNum w:abstractNumId="1">
    <w:nsid w:val="5E4A3A9E"/>
    <w:multiLevelType w:val="singleLevel"/>
    <w:tmpl w:val="5E4A3A9E"/>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B52F3"/>
    <w:rsid w:val="000209AB"/>
    <w:rsid w:val="00147F7C"/>
    <w:rsid w:val="001A2096"/>
    <w:rsid w:val="00213BCA"/>
    <w:rsid w:val="00221DCC"/>
    <w:rsid w:val="002953D9"/>
    <w:rsid w:val="00321481"/>
    <w:rsid w:val="00425E36"/>
    <w:rsid w:val="00460755"/>
    <w:rsid w:val="0047454C"/>
    <w:rsid w:val="004E5C1A"/>
    <w:rsid w:val="004F3E90"/>
    <w:rsid w:val="0051484C"/>
    <w:rsid w:val="005C7D87"/>
    <w:rsid w:val="006360A9"/>
    <w:rsid w:val="00664D4A"/>
    <w:rsid w:val="006A0BDD"/>
    <w:rsid w:val="007110A6"/>
    <w:rsid w:val="007170C7"/>
    <w:rsid w:val="007969CD"/>
    <w:rsid w:val="007975D2"/>
    <w:rsid w:val="00882C73"/>
    <w:rsid w:val="008A12B9"/>
    <w:rsid w:val="00922D7E"/>
    <w:rsid w:val="009F6474"/>
    <w:rsid w:val="00A31737"/>
    <w:rsid w:val="00AB6DFA"/>
    <w:rsid w:val="00C8297D"/>
    <w:rsid w:val="00C8799C"/>
    <w:rsid w:val="00CC43B5"/>
    <w:rsid w:val="00DB52F3"/>
    <w:rsid w:val="00DD4040"/>
    <w:rsid w:val="00E26346"/>
    <w:rsid w:val="00E60DFE"/>
    <w:rsid w:val="00E660FE"/>
    <w:rsid w:val="00E83982"/>
    <w:rsid w:val="00E90FA7"/>
    <w:rsid w:val="00EA69CE"/>
    <w:rsid w:val="00EB0ED3"/>
    <w:rsid w:val="00F16053"/>
    <w:rsid w:val="00F5262F"/>
    <w:rsid w:val="0D2A477D"/>
    <w:rsid w:val="0ED86744"/>
    <w:rsid w:val="1685249D"/>
    <w:rsid w:val="17710B82"/>
    <w:rsid w:val="1B652CEF"/>
    <w:rsid w:val="24E30D91"/>
    <w:rsid w:val="272F788F"/>
    <w:rsid w:val="2A2D2086"/>
    <w:rsid w:val="2CB0012E"/>
    <w:rsid w:val="2F4B00D0"/>
    <w:rsid w:val="392D44AF"/>
    <w:rsid w:val="3CAE0E32"/>
    <w:rsid w:val="407805C6"/>
    <w:rsid w:val="41720EEA"/>
    <w:rsid w:val="43DF6762"/>
    <w:rsid w:val="49E32E45"/>
    <w:rsid w:val="4F844E37"/>
    <w:rsid w:val="50F87A67"/>
    <w:rsid w:val="5A175515"/>
    <w:rsid w:val="5BBC7063"/>
    <w:rsid w:val="5CA022EE"/>
    <w:rsid w:val="606E6C11"/>
    <w:rsid w:val="62263B17"/>
    <w:rsid w:val="7564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unhideWhenUsed/>
    <w:uiPriority w:val="99"/>
  </w:style>
  <w:style w:type="character" w:styleId="7">
    <w:name w:val="Hyperlink"/>
    <w:basedOn w:val="5"/>
    <w:unhideWhenUsed/>
    <w:qFormat/>
    <w:uiPriority w:val="99"/>
    <w:rPr>
      <w:color w:val="333333"/>
      <w:u w:val="non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5"/>
    <w:link w:val="3"/>
    <w:semiHidden/>
    <w:qFormat/>
    <w:uiPriority w:val="99"/>
    <w:rPr>
      <w:kern w:val="2"/>
      <w:sz w:val="18"/>
      <w:szCs w:val="18"/>
    </w:rPr>
  </w:style>
  <w:style w:type="character" w:customStyle="1" w:styleId="11">
    <w:name w:val="页脚 Char"/>
    <w:basedOn w:val="5"/>
    <w:link w:val="2"/>
    <w:semiHidden/>
    <w:qFormat/>
    <w:uiPriority w:val="99"/>
    <w:rPr>
      <w:kern w:val="2"/>
      <w:sz w:val="18"/>
      <w:szCs w:val="18"/>
    </w:rPr>
  </w:style>
  <w:style w:type="character" w:customStyle="1" w:styleId="12">
    <w:name w:val="font01"/>
    <w:basedOn w:val="5"/>
    <w:uiPriority w:val="0"/>
    <w:rPr>
      <w:rFonts w:ascii="Arial" w:hAnsi="Arial" w:cs="Arial"/>
      <w:color w:val="000000"/>
      <w:sz w:val="20"/>
      <w:szCs w:val="20"/>
      <w:u w:val="none"/>
    </w:rPr>
  </w:style>
  <w:style w:type="character" w:customStyle="1" w:styleId="13">
    <w:name w:val="font21"/>
    <w:basedOn w:val="5"/>
    <w:uiPriority w:val="0"/>
    <w:rPr>
      <w:rFonts w:hint="eastAsia" w:ascii="楷体_GB2312" w:eastAsia="楷体_GB2312" w:cs="楷体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易凡电脑</Company>
  <Pages>1</Pages>
  <Words>16</Words>
  <Characters>95</Characters>
  <Lines>1</Lines>
  <Paragraphs>1</Paragraphs>
  <TotalTime>0</TotalTime>
  <ScaleCrop>false</ScaleCrop>
  <LinksUpToDate>false</LinksUpToDate>
  <CharactersWithSpaces>110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2024-03-25T01:44:49Z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FAC2FF4CF75540D88736E271DA56A934</vt:lpwstr>
  </property>
</Properties>
</file>