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19" w:lineRule="exact"/>
        <w:ind w:firstLine="2891" w:firstLineChars="800"/>
        <w:rPr>
          <w:rFonts w:hint="default" w:ascii="Times New Roman" w:hAnsi="Times New Roman" w:eastAsia="方正小标宋简体" w:cs="Times New Roman"/>
          <w:b/>
          <w:bCs/>
          <w:color w:val="000000"/>
          <w:sz w:val="36"/>
          <w:szCs w:val="36"/>
        </w:rPr>
      </w:pPr>
    </w:p>
    <w:p>
      <w:pPr>
        <w:spacing w:line="360" w:lineRule="auto"/>
        <w:ind w:firstLine="723" w:firstLineChars="200"/>
        <w:jc w:val="center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方正小标宋简体" w:cs="Times New Roman"/>
          <w:b/>
          <w:bCs/>
          <w:color w:val="000000"/>
          <w:sz w:val="36"/>
          <w:szCs w:val="36"/>
        </w:rPr>
        <w:t>202</w:t>
      </w:r>
      <w:r>
        <w:rPr>
          <w:rFonts w:hint="default" w:ascii="Times New Roman" w:hAnsi="Times New Roman" w:eastAsia="方正小标宋简体" w:cs="Times New Roman"/>
          <w:b/>
          <w:bCs/>
          <w:color w:val="000000"/>
          <w:sz w:val="36"/>
          <w:szCs w:val="36"/>
          <w:lang w:val="en-US" w:eastAsia="zh-CN"/>
        </w:rPr>
        <w:t>1</w:t>
      </w:r>
      <w:r>
        <w:rPr>
          <w:rFonts w:hint="default" w:ascii="Times New Roman" w:hAnsi="Times New Roman" w:eastAsia="方正小标宋简体" w:cs="Times New Roman"/>
          <w:b/>
          <w:bCs/>
          <w:color w:val="000000"/>
          <w:sz w:val="36"/>
          <w:szCs w:val="36"/>
        </w:rPr>
        <w:t>年重点工作情况解释说明汇总表</w:t>
      </w:r>
    </w:p>
    <w:tbl>
      <w:tblPr>
        <w:tblStyle w:val="6"/>
        <w:tblpPr w:leftFromText="180" w:rightFromText="180" w:vertAnchor="page" w:horzAnchor="page" w:tblpX="990" w:tblpY="2130"/>
        <w:tblW w:w="1076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2"/>
        <w:gridCol w:w="852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exact"/>
        </w:trPr>
        <w:tc>
          <w:tcPr>
            <w:tcW w:w="2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suppressLineNumbers w:val="0"/>
              <w:spacing w:before="0" w:beforeAutospacing="0" w:afterAutospacing="0" w:line="360" w:lineRule="auto"/>
              <w:ind w:left="0" w:right="0" w:firstLine="480" w:firstLineChars="20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重点工作</w:t>
            </w:r>
          </w:p>
        </w:tc>
        <w:tc>
          <w:tcPr>
            <w:tcW w:w="85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suppressLineNumbers w:val="0"/>
              <w:spacing w:before="0" w:beforeAutospacing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年工作重点及工作情况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4" w:hRule="exact"/>
        </w:trPr>
        <w:tc>
          <w:tcPr>
            <w:tcW w:w="2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suppressLineNumbers w:val="0"/>
              <w:spacing w:before="0" w:beforeAutospacing="0" w:afterAutospacing="0" w:line="360" w:lineRule="auto"/>
              <w:ind w:left="0" w:right="0" w:firstLine="240" w:firstLineChars="10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Autospacing="0" w:line="360" w:lineRule="auto"/>
              <w:ind w:left="0" w:right="0" w:firstLine="240" w:firstLineChars="10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Autospacing="0" w:line="360" w:lineRule="auto"/>
              <w:ind w:left="0" w:right="0" w:firstLine="240" w:firstLineChars="10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转移支付安排情况</w:t>
            </w:r>
          </w:p>
        </w:tc>
        <w:tc>
          <w:tcPr>
            <w:tcW w:w="85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200" w:afterAutospacing="0" w:line="560" w:lineRule="exact"/>
              <w:ind w:left="0" w:right="0" w:firstLine="560" w:firstLineChars="200"/>
              <w:jc w:val="both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  <w:t>2021年，收到州财政共补助陇川县211764万元，增长4.86%。其中：返还性收入3397万元，下降22.09%，占转移支付比重1.61%；专项转移支付37890万元，</w:t>
            </w:r>
            <w:bookmarkStart w:id="0" w:name="_GoBack"/>
            <w:bookmarkEnd w:id="0"/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  <w:t>增长2.06%，占转移支付比重17.89%；一般性转移支付170477万元，增长6.25%，占转移支付比重80.5%（均衡性转移支付补收入13875万元，县级基本财力保障机制奖补资金收入23867万元，结算补助收入21625万元，重点生态功能区转移支付收入1616万元，固定数额补助收入14569万元，民族地区转移支付3099万元，边境地区转移支付17943万元，贫困地区转移支付8978万元，公共安全共同财政事权转移支付收入1304万元，教育共同财政事权转移支付收入11797万元， 文化旅游体育与传媒共同财政事权转移支付收入215万元，社会保障和就业共同财政事权转移支付收入11503万元，医疗卫生健康共同财政事权转移支付收入8285万元，节能环保共同财政事权转移支付收入46万元，农林水共同财政事权转移支付收入25201万元，交通运输共同财政事权转移支付收入2421万元，住房保障共同财政事权转移支付收入1938万元，粮油物资储备共同财政事权转移支付收入178万元，灾害防治及应急管理共同财政事权转移支付收入 153万元，其他一般性转移支付收入1864万元）。</w:t>
            </w:r>
          </w:p>
          <w:p>
            <w:pPr>
              <w:keepNext w:val="0"/>
              <w:keepLines w:val="0"/>
              <w:suppressLineNumbers w:val="0"/>
              <w:spacing w:before="0" w:beforeAutospacing="0" w:afterAutospacing="0" w:line="360" w:lineRule="auto"/>
              <w:ind w:left="0" w:right="0" w:firstLine="560" w:firstLineChars="200"/>
              <w:jc w:val="both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202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年，收到州对陇川县政府性基金预算内转移性收入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8859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万元。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5" w:hRule="exact"/>
        </w:trPr>
        <w:tc>
          <w:tcPr>
            <w:tcW w:w="2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suppressLineNumbers w:val="0"/>
              <w:spacing w:before="0" w:beforeAutospacing="0" w:afterAutospacing="0" w:line="360" w:lineRule="auto"/>
              <w:ind w:left="0" w:right="0" w:firstLine="480" w:firstLineChars="20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Autospacing="0" w:line="360" w:lineRule="auto"/>
              <w:ind w:left="0" w:right="0" w:firstLine="480" w:firstLineChars="20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Autospacing="0" w:line="360" w:lineRule="auto"/>
              <w:ind w:left="0" w:right="0" w:firstLine="480" w:firstLineChars="20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预算绩效工作</w:t>
            </w:r>
          </w:p>
          <w:p>
            <w:pPr>
              <w:keepNext w:val="0"/>
              <w:keepLines w:val="0"/>
              <w:suppressLineNumbers w:val="0"/>
              <w:spacing w:before="0" w:beforeAutospacing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开展情况</w:t>
            </w:r>
          </w:p>
        </w:tc>
        <w:tc>
          <w:tcPr>
            <w:tcW w:w="85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200" w:afterAutospacing="0" w:line="560" w:lineRule="exact"/>
              <w:ind w:left="0" w:right="0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auto"/>
                <w:kern w:val="2"/>
                <w:sz w:val="28"/>
                <w:szCs w:val="28"/>
                <w:lang w:val="en-US" w:eastAsia="zh-CN" w:bidi="ar"/>
              </w:rPr>
              <w:t>一是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  <w:t>加强领导，高位推动预算绩效管理工作。成立了以县长为组长，常务副县长为副组长，各职能机构负责人为成员的预算绩效管理工作领导小组。</w:t>
            </w:r>
            <w:r>
              <w:rPr>
                <w:rFonts w:hint="default" w:ascii="Times New Roman" w:hAnsi="Times New Roman" w:eastAsia="方正仿宋_GBK" w:cs="Times New Roman"/>
                <w:b/>
                <w:color w:val="auto"/>
                <w:kern w:val="2"/>
                <w:sz w:val="28"/>
                <w:szCs w:val="28"/>
                <w:lang w:val="en-US" w:eastAsia="zh-CN" w:bidi="ar"/>
              </w:rPr>
              <w:t>二是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  <w:t>建章立制。印发了《全面实施预算绩效管理的实施意见》、《陇川县部门预算绩效运行监控管理暂行办法》、《陇川县项目支出绩效评价管理办法》、《陇川县全面实施预算绩效管理工作推进方案》推进预算绩效规范化管理。</w:t>
            </w:r>
            <w:r>
              <w:rPr>
                <w:rFonts w:hint="default" w:ascii="Times New Roman" w:hAnsi="Times New Roman" w:eastAsia="方正仿宋_GBK" w:cs="Times New Roman"/>
                <w:b/>
                <w:color w:val="auto"/>
                <w:kern w:val="2"/>
                <w:sz w:val="28"/>
                <w:szCs w:val="28"/>
                <w:lang w:val="en-US" w:eastAsia="zh-CN" w:bidi="ar"/>
              </w:rPr>
              <w:t>三是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  <w:t>循序渐进，扎实推进预算绩效管理工作。除了配合上级部门完成专项资金绩效评价工作外，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2021年我县开展重点绩效评价总计5308万元，其中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  <w:t>开展县直部门整体绩效评价4708万元，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涉及县司法局、县医疗保障局2家单位。通过绩效评价，从单位整体投入、过程管理、单位整体履职情况（产出）、单位整体履职效能等方面找出单位整体运行中存在的问题，并提出相应的改进意见和建议，以此完善制度、创新机制、加强管理、强化监督，为指导部门预算编制，优化财政支出结构，提高公共服务水平提供决策依据。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  <w:t>开展县直部门部分项目绩效评价600万元。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涉及县农业农村局、县融媒体中心、陇川县章凤镇、陇川县城子镇4家单位。绩效评价的内容主要包括绩效目标完成、财政资金落实、使用情况、项目管理、财务管理、完成绩效目标。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 w:firstLine="641"/>
              <w:jc w:val="both"/>
              <w:outlineLvl w:val="1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Autospacing="0" w:line="460" w:lineRule="exact"/>
              <w:ind w:left="0" w:right="0" w:firstLine="560" w:firstLineChars="200"/>
              <w:jc w:val="both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2" w:hRule="exact"/>
        </w:trPr>
        <w:tc>
          <w:tcPr>
            <w:tcW w:w="2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572" w:lineRule="exact"/>
              <w:ind w:left="0" w:right="0" w:firstLine="240" w:firstLineChars="100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举借政府债务情况</w:t>
            </w:r>
          </w:p>
        </w:tc>
        <w:tc>
          <w:tcPr>
            <w:tcW w:w="85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200" w:afterAutospacing="0" w:line="560" w:lineRule="exact"/>
              <w:ind w:left="0" w:right="0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  <w:t>德宏州核定陇川县2021年地方政府债务限额262060万元，当年新增地方政府债务限额6500万元，其中：一般债务限额0.00万元，专项债务限额6500万元。经县人大常委会批准，县本级2021年地方政府债务限额262060万元，比2020年增加6500元。2021年，陇川共转贷地方政府债券13300万元，其中：新增债券6500万元，再融资债券6800万元。新增债券资金主要用于县委、县政府确定的陇川县帮董水库工程、德宏州陇川县妇幼保健院妇女儿童保健综合楼建设项目等重点领域。陇川县2021年末政府债务余额235418万元，低于限额262060万元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93" w:lineRule="exact"/>
              <w:ind w:left="0" w:right="0" w:firstLine="560" w:firstLineChars="200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</w:tr>
    </w:tbl>
    <w:p>
      <w:pPr>
        <w:spacing w:after="0" w:line="519" w:lineRule="exact"/>
        <w:ind w:left="3372"/>
        <w:rPr>
          <w:rFonts w:hint="default" w:ascii="Times New Roman" w:hAnsi="Times New Roman" w:eastAsia="方正小标宋简体" w:cs="Times New Roman"/>
          <w:b/>
          <w:bCs/>
          <w:color w:val="000000"/>
          <w:sz w:val="36"/>
          <w:szCs w:val="36"/>
        </w:rPr>
      </w:pPr>
    </w:p>
    <w:sectPr>
      <w:headerReference r:id="rId5" w:type="default"/>
      <w:footerReference r:id="rId6" w:type="default"/>
      <w:type w:val="continuous"/>
      <w:pgSz w:w="11905" w:h="16838"/>
      <w:pgMar w:top="0" w:right="0" w:bottom="0" w:left="0" w:header="0" w:footer="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172A27"/>
    <w:rsid w:val="00236C84"/>
    <w:rsid w:val="002C74A6"/>
    <w:rsid w:val="00325E2F"/>
    <w:rsid w:val="00327B25"/>
    <w:rsid w:val="003D2827"/>
    <w:rsid w:val="00683BB8"/>
    <w:rsid w:val="007F1C1F"/>
    <w:rsid w:val="02132FF4"/>
    <w:rsid w:val="050849D4"/>
    <w:rsid w:val="0941467D"/>
    <w:rsid w:val="0B547BD4"/>
    <w:rsid w:val="0EA565EF"/>
    <w:rsid w:val="0F963C9A"/>
    <w:rsid w:val="141D1C1C"/>
    <w:rsid w:val="15171397"/>
    <w:rsid w:val="15E240A4"/>
    <w:rsid w:val="184C5E3E"/>
    <w:rsid w:val="1A222654"/>
    <w:rsid w:val="1B08030A"/>
    <w:rsid w:val="22C65A69"/>
    <w:rsid w:val="24483290"/>
    <w:rsid w:val="24B221D2"/>
    <w:rsid w:val="25D3737D"/>
    <w:rsid w:val="2AF56D8E"/>
    <w:rsid w:val="2DF235EE"/>
    <w:rsid w:val="37081526"/>
    <w:rsid w:val="38BE46F2"/>
    <w:rsid w:val="3AEB5085"/>
    <w:rsid w:val="3C915F93"/>
    <w:rsid w:val="3CFA5C78"/>
    <w:rsid w:val="3D6D2957"/>
    <w:rsid w:val="3DDF2E98"/>
    <w:rsid w:val="3FD343C8"/>
    <w:rsid w:val="413927B7"/>
    <w:rsid w:val="45EC5D0D"/>
    <w:rsid w:val="47E07EFE"/>
    <w:rsid w:val="490D4577"/>
    <w:rsid w:val="4D763327"/>
    <w:rsid w:val="50C56A8B"/>
    <w:rsid w:val="512D285B"/>
    <w:rsid w:val="523E6B9C"/>
    <w:rsid w:val="541F3A05"/>
    <w:rsid w:val="57F06E54"/>
    <w:rsid w:val="5C3D4FAC"/>
    <w:rsid w:val="5C444662"/>
    <w:rsid w:val="65FD5EB8"/>
    <w:rsid w:val="67647DF2"/>
    <w:rsid w:val="6C5615A8"/>
    <w:rsid w:val="6D3833DA"/>
    <w:rsid w:val="6DEE3340"/>
    <w:rsid w:val="6FA11AE9"/>
    <w:rsid w:val="6FDB4CF4"/>
    <w:rsid w:val="76CF22BD"/>
    <w:rsid w:val="7D1B6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qFormat="1" w:unhideWhenUsed="0"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iPriority w:val="99"/>
  </w:style>
  <w:style w:type="table" w:default="1" w:styleId="6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6"/>
    <w:basedOn w:val="1"/>
    <w:next w:val="1"/>
    <w:semiHidden/>
    <w:qFormat/>
    <w:uiPriority w:val="99"/>
    <w:pPr>
      <w:ind w:left="1000" w:leftChars="1000"/>
    </w:pPr>
  </w:style>
  <w:style w:type="paragraph" w:styleId="3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</w:pPr>
    <w:rPr>
      <w:sz w:val="18"/>
      <w:szCs w:val="18"/>
    </w:rPr>
  </w:style>
  <w:style w:type="paragraph" w:styleId="5">
    <w:name w:val="Normal (Web)"/>
    <w:basedOn w:val="1"/>
    <w:qFormat/>
    <w:uiPriority w:val="99"/>
    <w:rPr>
      <w:sz w:val="24"/>
      <w:szCs w:val="24"/>
    </w:rPr>
  </w:style>
  <w:style w:type="character" w:styleId="8">
    <w:name w:val="Hyperlink"/>
    <w:basedOn w:val="7"/>
    <w:qFormat/>
    <w:uiPriority w:val="99"/>
    <w:rPr>
      <w:color w:val="0000FF"/>
      <w:u w:val="single"/>
    </w:rPr>
  </w:style>
  <w:style w:type="character" w:customStyle="1" w:styleId="9">
    <w:name w:val="Footer Char"/>
    <w:basedOn w:val="7"/>
    <w:link w:val="3"/>
    <w:semiHidden/>
    <w:qFormat/>
    <w:uiPriority w:val="99"/>
    <w:rPr>
      <w:rFonts w:ascii="Calibri" w:hAnsi="Calibri" w:cs="Calibri"/>
      <w:sz w:val="18"/>
      <w:szCs w:val="18"/>
    </w:rPr>
  </w:style>
  <w:style w:type="character" w:customStyle="1" w:styleId="10">
    <w:name w:val="Header Char"/>
    <w:basedOn w:val="7"/>
    <w:link w:val="4"/>
    <w:semiHidden/>
    <w:qFormat/>
    <w:uiPriority w:val="99"/>
    <w:rPr>
      <w:rFonts w:ascii="Calibri" w:hAnsi="Calibri" w:cs="Calibri"/>
      <w:sz w:val="18"/>
      <w:szCs w:val="18"/>
    </w:rPr>
  </w:style>
  <w:style w:type="paragraph" w:customStyle="1" w:styleId="11">
    <w:name w:val="p0"/>
    <w:basedOn w:val="1"/>
    <w:next w:val="2"/>
    <w:qFormat/>
    <w:uiPriority w:val="99"/>
    <w:pPr>
      <w:widowControl/>
      <w:spacing w:after="0"/>
      <w:jc w:val="both"/>
    </w:pPr>
    <w:rPr>
      <w:kern w:val="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MC SYSTEM</Company>
  <Pages>2</Pages>
  <Words>243</Words>
  <Characters>1389</Characters>
  <Lines>0</Lines>
  <Paragraphs>0</Paragraphs>
  <TotalTime>129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2020-08-31T06:48:00Z</dcterms:created>
  <dc:creator>jxpjk</dc:creator>
  <cp:lastModifiedBy>亥</cp:lastModifiedBy>
  <cp:lastPrinted>2020-08-31T09:56:00Z</cp:lastPrinted>
  <dcterms:modified xsi:type="dcterms:W3CDTF">2022-10-11T10:33:12Z</dcterms:modified>
  <dc:title>重点工作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