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陇川县县</w:t>
      </w:r>
      <w:r>
        <w:rPr>
          <w:rFonts w:hint="default" w:ascii="Times New Roman" w:hAnsi="Times New Roman" w:eastAsia="方正小标宋_GBK" w:cs="Times New Roman"/>
          <w:bCs/>
          <w:color w:val="auto"/>
          <w:sz w:val="44"/>
          <w:szCs w:val="44"/>
          <w:lang w:val="en-US" w:eastAsia="zh-CN"/>
        </w:rPr>
        <w:t>管</w:t>
      </w:r>
      <w:r>
        <w:rPr>
          <w:rFonts w:hint="default" w:ascii="Times New Roman" w:hAnsi="Times New Roman" w:eastAsia="方正小标宋_GBK" w:cs="Times New Roman"/>
          <w:bCs/>
          <w:color w:val="auto"/>
          <w:sz w:val="44"/>
          <w:szCs w:val="44"/>
        </w:rPr>
        <w:t>企业负责人经营管理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业绩考核办法（试行）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方正仿宋_GBK"/>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方正黑体_GBK"/>
          <w:color w:val="auto"/>
          <w:sz w:val="32"/>
          <w:szCs w:val="32"/>
        </w:rPr>
      </w:pPr>
      <w:r>
        <w:rPr>
          <w:rFonts w:hint="eastAsia" w:ascii="Times New Roman" w:eastAsia="方正黑体_GBK"/>
          <w:color w:val="auto"/>
          <w:sz w:val="32"/>
          <w:szCs w:val="32"/>
          <w:lang w:eastAsia="zh-CN"/>
        </w:rPr>
        <w:t>第一章</w:t>
      </w:r>
      <w:r>
        <w:rPr>
          <w:rFonts w:hint="eastAsia" w:ascii="Times New Roman" w:eastAsia="方正黑体_GBK"/>
          <w:color w:val="auto"/>
          <w:sz w:val="32"/>
          <w:szCs w:val="32"/>
          <w:lang w:val="en-US" w:eastAsia="zh-CN"/>
        </w:rPr>
        <w:t xml:space="preserve"> </w:t>
      </w:r>
      <w:r>
        <w:rPr>
          <w:rFonts w:hint="eastAsia" w:eastAsia="方正黑体_GBK"/>
          <w:color w:val="auto"/>
          <w:sz w:val="32"/>
          <w:szCs w:val="32"/>
          <w:lang w:val="en-US" w:eastAsia="zh-CN"/>
        </w:rPr>
        <w:t xml:space="preserve"> </w:t>
      </w:r>
      <w:r>
        <w:rPr>
          <w:rFonts w:ascii="Times New Roman" w:eastAsia="方正黑体_GBK"/>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hint="eastAsia" w:ascii="方正楷体_GBK" w:eastAsia="方正楷体_GBK"/>
          <w:color w:val="auto"/>
          <w:sz w:val="32"/>
          <w:szCs w:val="32"/>
        </w:rPr>
        <w:t>第一条</w:t>
      </w:r>
      <w:r>
        <w:rPr>
          <w:rFonts w:ascii="Times New Roman" w:hAnsi="Times New Roman" w:eastAsia="方正仿宋_GBK"/>
          <w:color w:val="auto"/>
          <w:sz w:val="32"/>
          <w:szCs w:val="32"/>
        </w:rPr>
        <w:t xml:space="preserve"> </w:t>
      </w:r>
      <w:r>
        <w:rPr>
          <w:rFonts w:hint="eastAsia" w:eastAsia="方正仿宋_GBK"/>
          <w:color w:val="auto"/>
          <w:sz w:val="32"/>
          <w:szCs w:val="32"/>
          <w:lang w:val="en-US" w:eastAsia="zh-CN"/>
        </w:rPr>
        <w:t xml:space="preserve"> </w:t>
      </w:r>
      <w:r>
        <w:rPr>
          <w:rFonts w:ascii="Times New Roman" w:eastAsia="方正仿宋_GBK"/>
          <w:color w:val="auto"/>
          <w:sz w:val="32"/>
          <w:szCs w:val="32"/>
        </w:rPr>
        <w:t>为深化国有企业改革，提高国有企业治理水平，使县管国有企业负责人薪酬与企业经营业绩水平挂钩，根据《中华人民共和国公司法》《中华人民共和国企业国有资产法》《企业国有资产监督管理暂行条例》《云南省省属企业管理者经营业绩考核暂行办法》（云国资分配〔</w:t>
      </w:r>
      <w:r>
        <w:rPr>
          <w:rFonts w:ascii="Times New Roman" w:hAnsi="Times New Roman" w:eastAsia="方正仿宋_GBK"/>
          <w:color w:val="auto"/>
          <w:sz w:val="32"/>
          <w:szCs w:val="32"/>
        </w:rPr>
        <w:t>2016</w:t>
      </w:r>
      <w:r>
        <w:rPr>
          <w:rFonts w:ascii="Times New Roman" w:eastAsia="方正仿宋_GBK"/>
          <w:color w:val="auto"/>
          <w:sz w:val="32"/>
          <w:szCs w:val="32"/>
        </w:rPr>
        <w:t>〕</w:t>
      </w:r>
      <w:r>
        <w:rPr>
          <w:rFonts w:ascii="Times New Roman" w:hAnsi="Times New Roman" w:eastAsia="方正仿宋_GBK"/>
          <w:color w:val="auto"/>
          <w:sz w:val="32"/>
          <w:szCs w:val="32"/>
        </w:rPr>
        <w:t>280</w:t>
      </w:r>
      <w:r>
        <w:rPr>
          <w:rFonts w:ascii="Times New Roman" w:eastAsia="方正仿宋_GBK"/>
          <w:color w:val="auto"/>
          <w:sz w:val="32"/>
          <w:szCs w:val="32"/>
        </w:rPr>
        <w:t>号）、</w:t>
      </w:r>
      <w:r>
        <w:rPr>
          <w:rStyle w:val="7"/>
          <w:rFonts w:hAnsi="方正仿宋_GBK" w:eastAsia="方正仿宋_GBK"/>
          <w:color w:val="auto"/>
          <w:sz w:val="32"/>
          <w:szCs w:val="32"/>
        </w:rPr>
        <w:t>《德宏州州</w:t>
      </w:r>
      <w:r>
        <w:rPr>
          <w:rStyle w:val="7"/>
          <w:rFonts w:hint="eastAsia" w:hAnsi="方正仿宋_GBK" w:eastAsia="方正仿宋_GBK"/>
          <w:color w:val="auto"/>
          <w:sz w:val="32"/>
          <w:szCs w:val="32"/>
          <w:lang w:val="en-US" w:eastAsia="zh-CN"/>
        </w:rPr>
        <w:t>管</w:t>
      </w:r>
      <w:r>
        <w:rPr>
          <w:rStyle w:val="7"/>
          <w:rFonts w:hAnsi="方正仿宋_GBK" w:eastAsia="方正仿宋_GBK"/>
          <w:color w:val="auto"/>
          <w:sz w:val="32"/>
          <w:szCs w:val="32"/>
        </w:rPr>
        <w:t>企业负责人经营管理业绩考核办法（试行）》（</w:t>
      </w:r>
      <w:r>
        <w:rPr>
          <w:rStyle w:val="7"/>
          <w:rFonts w:hint="eastAsia" w:hAnsi="方正仿宋_GBK" w:eastAsia="方正仿宋_GBK"/>
          <w:color w:val="auto"/>
          <w:sz w:val="32"/>
          <w:szCs w:val="32"/>
        </w:rPr>
        <w:t>德政办发〔2020〕11号</w:t>
      </w:r>
      <w:r>
        <w:rPr>
          <w:rStyle w:val="7"/>
          <w:rFonts w:hAnsi="方正仿宋_GBK" w:eastAsia="方正仿宋_GBK"/>
          <w:color w:val="auto"/>
          <w:sz w:val="32"/>
          <w:szCs w:val="32"/>
        </w:rPr>
        <w:t>）</w:t>
      </w:r>
      <w:r>
        <w:rPr>
          <w:rFonts w:ascii="Times New Roman" w:eastAsia="方正仿宋_GBK"/>
          <w:color w:val="auto"/>
          <w:sz w:val="32"/>
          <w:szCs w:val="32"/>
        </w:rPr>
        <w:t>及中央、省、州等法规政策，结合陇川县实际，制定本办法。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hint="eastAsia" w:ascii="方正楷体_GBK" w:eastAsia="方正楷体_GBK"/>
          <w:color w:val="auto"/>
          <w:sz w:val="32"/>
          <w:szCs w:val="32"/>
        </w:rPr>
        <w:t>第二条</w:t>
      </w:r>
      <w:r>
        <w:rPr>
          <w:rFonts w:ascii="Times New Roman" w:hAnsi="Times New Roman" w:eastAsia="方正仿宋_GBK"/>
          <w:color w:val="auto"/>
          <w:sz w:val="32"/>
          <w:szCs w:val="32"/>
        </w:rPr>
        <w:t xml:space="preserve"> </w:t>
      </w:r>
      <w:r>
        <w:rPr>
          <w:rFonts w:hint="eastAsia" w:eastAsia="方正仿宋_GBK"/>
          <w:color w:val="auto"/>
          <w:sz w:val="32"/>
          <w:szCs w:val="32"/>
          <w:lang w:val="en-US" w:eastAsia="zh-CN"/>
        </w:rPr>
        <w:t xml:space="preserve"> </w:t>
      </w:r>
      <w:r>
        <w:rPr>
          <w:rFonts w:ascii="Times New Roman" w:eastAsia="方正仿宋_GBK"/>
          <w:color w:val="auto"/>
          <w:sz w:val="32"/>
          <w:szCs w:val="32"/>
        </w:rPr>
        <w:t>本办法考核的对象是县人民政府授权县财政局（</w:t>
      </w:r>
      <w:r>
        <w:rPr>
          <w:rFonts w:hint="eastAsia" w:ascii="Times New Roman" w:eastAsia="方正仿宋_GBK"/>
          <w:color w:val="auto"/>
          <w:sz w:val="32"/>
          <w:szCs w:val="32"/>
        </w:rPr>
        <w:t>县</w:t>
      </w:r>
      <w:r>
        <w:rPr>
          <w:rFonts w:ascii="Times New Roman" w:eastAsia="方正仿宋_GBK"/>
          <w:color w:val="auto"/>
          <w:sz w:val="32"/>
          <w:szCs w:val="32"/>
        </w:rPr>
        <w:t>国资委）履行出资人职责的县</w:t>
      </w:r>
      <w:r>
        <w:rPr>
          <w:rFonts w:hint="eastAsia" w:ascii="Times New Roman" w:eastAsia="方正仿宋_GBK"/>
          <w:color w:val="auto"/>
          <w:sz w:val="32"/>
          <w:szCs w:val="32"/>
          <w:lang w:val="en-US" w:eastAsia="zh-CN"/>
        </w:rPr>
        <w:t>属</w:t>
      </w:r>
      <w:r>
        <w:rPr>
          <w:rFonts w:ascii="Times New Roman" w:eastAsia="方正仿宋_GBK"/>
          <w:color w:val="auto"/>
          <w:sz w:val="32"/>
          <w:szCs w:val="32"/>
        </w:rPr>
        <w:t>国有企业中的党委书记、党委副书记、纪委书记，董事长、副董事长、总经理（总裁）、副总经理（副总裁），监事会主席、财务总监、工会主席等人员，不含市场化选聘的企业领导人员。其中：党委书记、董事长、总经理</w:t>
      </w:r>
      <w:r>
        <w:rPr>
          <w:rFonts w:ascii="Times New Roman" w:eastAsia="方正仿宋_GBK"/>
          <w:color w:val="auto"/>
          <w:spacing w:val="-6"/>
          <w:sz w:val="32"/>
          <w:szCs w:val="32"/>
        </w:rPr>
        <w:t>为县管企业领导人员正职，其余领导人员为县管企业领导人员副职。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eastAsia="方正仿宋_GBK"/>
          <w:color w:val="auto"/>
          <w:sz w:val="32"/>
          <w:szCs w:val="32"/>
        </w:rPr>
      </w:pPr>
      <w:r>
        <w:rPr>
          <w:rFonts w:hint="eastAsia" w:ascii="方正楷体_GBK" w:eastAsia="方正楷体_GBK"/>
          <w:color w:val="auto"/>
          <w:sz w:val="32"/>
          <w:szCs w:val="32"/>
        </w:rPr>
        <w:t>第三条</w:t>
      </w:r>
      <w:r>
        <w:rPr>
          <w:rFonts w:hint="eastAsia" w:ascii="方正楷体_GBK" w:eastAsia="方正楷体_GBK"/>
          <w:color w:val="auto"/>
          <w:sz w:val="32"/>
          <w:szCs w:val="32"/>
          <w:lang w:val="en-US" w:eastAsia="zh-CN"/>
        </w:rPr>
        <w:t xml:space="preserve"> </w:t>
      </w:r>
      <w:r>
        <w:rPr>
          <w:rFonts w:ascii="Times New Roman" w:hAnsi="Times New Roman" w:eastAsia="方正仿宋_GBK"/>
          <w:color w:val="auto"/>
          <w:sz w:val="32"/>
          <w:szCs w:val="32"/>
        </w:rPr>
        <w:t xml:space="preserve"> </w:t>
      </w:r>
      <w:r>
        <w:rPr>
          <w:rFonts w:ascii="Times New Roman" w:eastAsia="方正仿宋_GBK"/>
          <w:color w:val="auto"/>
          <w:sz w:val="32"/>
          <w:szCs w:val="32"/>
        </w:rPr>
        <w:t>企业经营管理业绩，按年度、任期开展考核，实行定量考核与定性评价相结合、目标考核与综合评价相统一、考核结果与奖惩相挂钩的考核制度。遵循依法依规，按照权利、义务、责任统一的要求，建立健全科学合理、可追溯的资产经营责任制，突出考核导向，明确考核标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方正黑体_GBK"/>
          <w:color w:val="auto"/>
          <w:sz w:val="32"/>
          <w:szCs w:val="32"/>
        </w:rPr>
      </w:pPr>
      <w:r>
        <w:rPr>
          <w:rFonts w:ascii="Times New Roman" w:eastAsia="方正黑体_GBK"/>
          <w:color w:val="auto"/>
          <w:sz w:val="32"/>
          <w:szCs w:val="32"/>
        </w:rPr>
        <w:t>第二章</w:t>
      </w:r>
      <w:r>
        <w:rPr>
          <w:rFonts w:ascii="Times New Roman" w:hAnsi="Times New Roman" w:eastAsia="方正黑体_GBK"/>
          <w:color w:val="auto"/>
          <w:sz w:val="32"/>
          <w:szCs w:val="32"/>
        </w:rPr>
        <w:t xml:space="preserve"> </w:t>
      </w:r>
      <w:r>
        <w:rPr>
          <w:rFonts w:hint="eastAsia" w:eastAsia="方正黑体_GBK"/>
          <w:color w:val="auto"/>
          <w:sz w:val="32"/>
          <w:szCs w:val="32"/>
          <w:lang w:val="en-US" w:eastAsia="zh-CN"/>
        </w:rPr>
        <w:t xml:space="preserve"> </w:t>
      </w:r>
      <w:r>
        <w:rPr>
          <w:rFonts w:ascii="Times New Roman" w:eastAsia="方正黑体_GBK"/>
          <w:color w:val="auto"/>
          <w:sz w:val="32"/>
          <w:szCs w:val="32"/>
        </w:rPr>
        <w:t>年度经营业绩考核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hint="eastAsia" w:ascii="方正楷体_GBK" w:eastAsia="方正楷体_GBK"/>
          <w:bCs/>
          <w:color w:val="auto"/>
          <w:sz w:val="32"/>
          <w:szCs w:val="32"/>
        </w:rPr>
        <w:t>第四条</w:t>
      </w:r>
      <w:r>
        <w:rPr>
          <w:rFonts w:ascii="Times New Roman" w:hAnsi="Times New Roman" w:eastAsia="方正仿宋_GBK"/>
          <w:b/>
          <w:bCs/>
          <w:color w:val="auto"/>
          <w:sz w:val="32"/>
          <w:szCs w:val="32"/>
        </w:rPr>
        <w:t xml:space="preserve"> </w:t>
      </w:r>
      <w:r>
        <w:rPr>
          <w:rFonts w:hint="eastAsia" w:eastAsia="方正仿宋_GBK"/>
          <w:b/>
          <w:bCs/>
          <w:color w:val="auto"/>
          <w:sz w:val="32"/>
          <w:szCs w:val="32"/>
          <w:lang w:val="en-US" w:eastAsia="zh-CN"/>
        </w:rPr>
        <w:t xml:space="preserve"> </w:t>
      </w:r>
      <w:r>
        <w:rPr>
          <w:rFonts w:ascii="Times New Roman" w:eastAsia="方正仿宋_GBK"/>
          <w:color w:val="auto"/>
          <w:sz w:val="32"/>
          <w:szCs w:val="32"/>
        </w:rPr>
        <w:t>年度经营业绩考核以公历年度为考核期。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hint="eastAsia" w:ascii="方正楷体_GBK" w:eastAsia="方正楷体_GBK"/>
          <w:bCs/>
          <w:color w:val="auto"/>
          <w:sz w:val="32"/>
          <w:szCs w:val="32"/>
        </w:rPr>
        <w:t>第五条</w:t>
      </w:r>
      <w:r>
        <w:rPr>
          <w:rFonts w:hint="eastAsia" w:ascii="Times New Roman" w:eastAsia="方正仿宋_GBK"/>
          <w:b/>
          <w:bCs/>
          <w:color w:val="auto"/>
          <w:sz w:val="32"/>
          <w:szCs w:val="32"/>
        </w:rPr>
        <w:t xml:space="preserve"> </w:t>
      </w:r>
      <w:r>
        <w:rPr>
          <w:rFonts w:hint="eastAsia" w:eastAsia="方正仿宋_GBK"/>
          <w:b/>
          <w:bCs/>
          <w:color w:val="auto"/>
          <w:sz w:val="32"/>
          <w:szCs w:val="32"/>
          <w:lang w:val="en-US" w:eastAsia="zh-CN"/>
        </w:rPr>
        <w:t xml:space="preserve"> </w:t>
      </w:r>
      <w:r>
        <w:rPr>
          <w:rFonts w:ascii="Times New Roman" w:eastAsia="方正仿宋_GBK"/>
          <w:color w:val="auto"/>
          <w:sz w:val="32"/>
          <w:szCs w:val="32"/>
        </w:rPr>
        <w:t>年度经营业绩考核指标包括基本指标、分类指标和综合评价指标。具体考核指标在《责任书》中明确。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eastAsia="方正仿宋_GBK"/>
          <w:color w:val="auto"/>
          <w:sz w:val="32"/>
          <w:szCs w:val="32"/>
        </w:rPr>
        <w:t>（一）基本指标，权重为</w:t>
      </w:r>
      <w:r>
        <w:rPr>
          <w:rFonts w:ascii="Times New Roman" w:hAnsi="Times New Roman" w:eastAsia="方正仿宋_GBK"/>
          <w:color w:val="auto"/>
          <w:sz w:val="32"/>
          <w:szCs w:val="32"/>
        </w:rPr>
        <w:t>50%</w:t>
      </w:r>
      <w:r>
        <w:rPr>
          <w:rFonts w:ascii="Times New Roman" w:eastAsia="方正仿宋_GBK"/>
          <w:color w:val="auto"/>
          <w:sz w:val="32"/>
          <w:szCs w:val="32"/>
        </w:rPr>
        <w:t>。包括利润总额、社会贡献总额、投资额、国有资本保值增值率，体现生产经营基本状况的指标。具体指标采用及权重根据企业分类情况、年度经营管理实际，由县国资委按本办法第九条规定研究确定后执行。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bCs/>
          <w:color w:val="auto"/>
          <w:sz w:val="32"/>
          <w:szCs w:val="32"/>
        </w:rPr>
        <w:t>1</w:t>
      </w:r>
      <w:r>
        <w:rPr>
          <w:rFonts w:hint="eastAsia" w:ascii="Times New Roman" w:hAnsi="Times New Roman" w:eastAsia="方正仿宋_GBK"/>
          <w:bCs/>
          <w:color w:val="auto"/>
          <w:sz w:val="32"/>
          <w:szCs w:val="32"/>
        </w:rPr>
        <w:t>．</w:t>
      </w:r>
      <w:r>
        <w:rPr>
          <w:rFonts w:ascii="Times New Roman" w:eastAsia="方正仿宋_GBK"/>
          <w:color w:val="auto"/>
          <w:sz w:val="32"/>
          <w:szCs w:val="32"/>
        </w:rPr>
        <w:t>利润总额是指经中介机构审计的企业在生产经营过程中各种收入扣除各种耗费的盈余，反映企业在报告期内实现的盈亏总额。计算利润总额须扣除通过批准的非流动资产处置和债务重组的损益、非国家会计政策变更产生的损益等客观因素引起的变动及各级政府补助收入；如承担政府重大专项任务或特定工作任务和企业研发投入而导致企业利润总额下降的，可视同实现利润计算，但需附中介机构签证的专项报告和</w:t>
      </w:r>
      <w:r>
        <w:rPr>
          <w:rFonts w:hint="eastAsia" w:ascii="Times New Roman" w:eastAsia="方正仿宋_GBK"/>
          <w:color w:val="auto"/>
          <w:sz w:val="32"/>
          <w:szCs w:val="32"/>
        </w:rPr>
        <w:t>有</w:t>
      </w:r>
      <w:r>
        <w:rPr>
          <w:rFonts w:ascii="Times New Roman" w:eastAsia="方正仿宋_GBK"/>
          <w:color w:val="auto"/>
          <w:sz w:val="32"/>
          <w:szCs w:val="32"/>
        </w:rPr>
        <w:t>关文件。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bCs/>
          <w:color w:val="auto"/>
          <w:sz w:val="32"/>
          <w:szCs w:val="32"/>
        </w:rPr>
        <w:t>2</w:t>
      </w:r>
      <w:r>
        <w:rPr>
          <w:rFonts w:hint="eastAsia" w:ascii="Times New Roman" w:hAnsi="Times New Roman" w:eastAsia="方正仿宋_GBK"/>
          <w:bCs/>
          <w:color w:val="auto"/>
          <w:sz w:val="32"/>
          <w:szCs w:val="32"/>
        </w:rPr>
        <w:t>．</w:t>
      </w:r>
      <w:r>
        <w:rPr>
          <w:rFonts w:ascii="Times New Roman" w:eastAsia="方正仿宋_GBK"/>
          <w:color w:val="auto"/>
          <w:sz w:val="32"/>
          <w:szCs w:val="32"/>
        </w:rPr>
        <w:t>社会贡献总额是指企业为国家或社会创造或支付的价值总额，包括工资、劳保退休统筹及其社会福利支出、利息支出、上交税费、企业对外捐赠和净利润等。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bCs/>
          <w:color w:val="auto"/>
          <w:sz w:val="32"/>
          <w:szCs w:val="32"/>
        </w:rPr>
        <w:t>3</w:t>
      </w:r>
      <w:r>
        <w:rPr>
          <w:rFonts w:hint="eastAsia" w:ascii="Times New Roman" w:hAnsi="Times New Roman" w:eastAsia="方正仿宋_GBK"/>
          <w:bCs/>
          <w:color w:val="auto"/>
          <w:sz w:val="32"/>
          <w:szCs w:val="32"/>
        </w:rPr>
        <w:t>．</w:t>
      </w:r>
      <w:r>
        <w:rPr>
          <w:rFonts w:ascii="Times New Roman" w:eastAsia="方正仿宋_GBK"/>
          <w:color w:val="auto"/>
          <w:sz w:val="32"/>
          <w:szCs w:val="32"/>
        </w:rPr>
        <w:t>投资额是指投资主体当年为获取预期收益，在选定的项目上投入的资金总额。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bCs/>
          <w:color w:val="auto"/>
          <w:sz w:val="32"/>
          <w:szCs w:val="32"/>
        </w:rPr>
        <w:t>4</w:t>
      </w:r>
      <w:r>
        <w:rPr>
          <w:rFonts w:hint="eastAsia" w:ascii="Times New Roman" w:hAnsi="Times New Roman" w:eastAsia="方正仿宋_GBK"/>
          <w:bCs/>
          <w:color w:val="auto"/>
          <w:sz w:val="32"/>
          <w:szCs w:val="32"/>
        </w:rPr>
        <w:t>．</w:t>
      </w:r>
      <w:r>
        <w:rPr>
          <w:rFonts w:ascii="Times New Roman" w:eastAsia="方正仿宋_GBK"/>
          <w:color w:val="auto"/>
          <w:sz w:val="32"/>
          <w:szCs w:val="32"/>
        </w:rPr>
        <w:t>国有资本保值增值率是指企业当年扣除客观增减因素后的期末所有者权益与期初经核定的所有者权益的比率。其计算公式为：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eastAsia="方正仿宋_GBK"/>
          <w:color w:val="auto"/>
          <w:sz w:val="32"/>
          <w:szCs w:val="32"/>
        </w:rPr>
        <w:t>国有资本保值增值率</w:t>
      </w:r>
      <w:r>
        <w:rPr>
          <w:rFonts w:ascii="Times New Roman" w:hAnsi="Times New Roman" w:eastAsia="方正仿宋_GBK"/>
          <w:color w:val="auto"/>
          <w:sz w:val="32"/>
          <w:szCs w:val="32"/>
        </w:rPr>
        <w:t>=</w:t>
      </w:r>
      <w:r>
        <w:rPr>
          <w:rFonts w:ascii="Times New Roman" w:eastAsia="方正仿宋_GBK"/>
          <w:color w:val="auto"/>
          <w:sz w:val="32"/>
          <w:szCs w:val="32"/>
        </w:rPr>
        <w:t>（扣除客观因素后的期末所有者权益</w:t>
      </w:r>
      <w:r>
        <w:rPr>
          <w:rFonts w:ascii="Times New Roman" w:hAnsi="Times New Roman" w:eastAsia="方正仿宋_GBK"/>
          <w:color w:val="auto"/>
          <w:sz w:val="32"/>
          <w:szCs w:val="32"/>
        </w:rPr>
        <w:t>÷</w:t>
      </w:r>
      <w:r>
        <w:rPr>
          <w:rFonts w:ascii="Times New Roman" w:eastAsia="方正仿宋_GBK"/>
          <w:color w:val="auto"/>
          <w:sz w:val="32"/>
          <w:szCs w:val="32"/>
        </w:rPr>
        <w:t>期初所有者权益）</w:t>
      </w:r>
      <w:r>
        <w:rPr>
          <w:rFonts w:ascii="Times New Roman" w:hAnsi="Times New Roman" w:eastAsia="方正仿宋_GBK"/>
          <w:color w:val="auto"/>
          <w:sz w:val="32"/>
          <w:szCs w:val="32"/>
        </w:rPr>
        <w:t>×100%</w:t>
      </w:r>
      <w:r>
        <w:rPr>
          <w:rFonts w:asci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ascii="Times New Roman" w:eastAsia="方正仿宋_GBK"/>
          <w:bCs/>
          <w:color w:val="auto"/>
          <w:sz w:val="32"/>
          <w:szCs w:val="32"/>
        </w:rPr>
        <w:t>二</w:t>
      </w:r>
      <w:r>
        <w:rPr>
          <w:rFonts w:hint="eastAsia" w:ascii="Times New Roman" w:hAnsi="Times New Roman" w:eastAsia="方正仿宋_GBK"/>
          <w:bCs/>
          <w:color w:val="auto"/>
          <w:sz w:val="32"/>
          <w:szCs w:val="32"/>
        </w:rPr>
        <w:t>）</w:t>
      </w:r>
      <w:r>
        <w:rPr>
          <w:rFonts w:ascii="Times New Roman" w:eastAsia="方正仿宋_GBK"/>
          <w:bCs/>
          <w:color w:val="auto"/>
          <w:sz w:val="32"/>
          <w:szCs w:val="32"/>
        </w:rPr>
        <w:t>分类指标，权重为</w:t>
      </w:r>
      <w:r>
        <w:rPr>
          <w:rFonts w:ascii="Times New Roman" w:hAnsi="Times New Roman" w:eastAsia="方正仿宋_GBK"/>
          <w:bCs/>
          <w:color w:val="auto"/>
          <w:sz w:val="32"/>
          <w:szCs w:val="32"/>
        </w:rPr>
        <w:t>30%</w:t>
      </w:r>
      <w:r>
        <w:rPr>
          <w:rFonts w:ascii="Times New Roman" w:eastAsia="方正仿宋_GBK"/>
          <w:bCs/>
          <w:color w:val="auto"/>
          <w:sz w:val="32"/>
          <w:szCs w:val="32"/>
        </w:rPr>
        <w:t>。</w:t>
      </w:r>
      <w:r>
        <w:rPr>
          <w:rFonts w:ascii="Times New Roman" w:eastAsia="方正仿宋_GBK"/>
          <w:color w:val="auto"/>
          <w:sz w:val="32"/>
          <w:szCs w:val="32"/>
        </w:rPr>
        <w:t>具体由县国资委根据企业所处的行业特点，综合考虑企业经营管理水平、发展能力及风险控制能力因素确定。具体指标采用及权重根据企业分类情况、年度经营管理实际，由县国资委按本办法第九条规定研究确定后执行。（具体指标详见附件</w:t>
      </w:r>
      <w:r>
        <w:rPr>
          <w:rFonts w:ascii="Times New Roman" w:hAnsi="Times New Roman" w:eastAsia="方正仿宋_GBK"/>
          <w:color w:val="auto"/>
          <w:sz w:val="32"/>
          <w:szCs w:val="32"/>
        </w:rPr>
        <w:t>1</w:t>
      </w:r>
      <w:r>
        <w:rPr>
          <w:rFonts w:asci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eastAsia="方正仿宋_GBK"/>
          <w:bCs/>
          <w:color w:val="auto"/>
          <w:sz w:val="32"/>
          <w:szCs w:val="32"/>
        </w:rPr>
        <w:t>（三）综合评价指标，权重为</w:t>
      </w:r>
      <w:r>
        <w:rPr>
          <w:rFonts w:ascii="Times New Roman" w:hAnsi="Times New Roman" w:eastAsia="方正仿宋_GBK"/>
          <w:bCs/>
          <w:color w:val="auto"/>
          <w:sz w:val="32"/>
          <w:szCs w:val="32"/>
        </w:rPr>
        <w:t>20%</w:t>
      </w:r>
      <w:r>
        <w:rPr>
          <w:rFonts w:ascii="Times New Roman" w:eastAsia="方正仿宋_GBK"/>
          <w:color w:val="auto"/>
          <w:sz w:val="32"/>
          <w:szCs w:val="32"/>
        </w:rPr>
        <w:t>。主要贯彻落实国有资产监督管理制度及办法情况、党建工作、产业发展、公司治理及管理创新、安全生产、廉洁从业、风险控制等内容给予的综合评判，由县国资委按本办法第九条规定研究确定后执</w:t>
      </w:r>
      <w:r>
        <w:rPr>
          <w:rFonts w:hint="eastAsia" w:eastAsia="方正仿宋_GBK"/>
          <w:color w:val="auto"/>
          <w:sz w:val="32"/>
          <w:szCs w:val="32"/>
          <w:lang w:eastAsia="zh-CN"/>
        </w:rPr>
        <w:t>行</w:t>
      </w:r>
      <w:r>
        <w:rPr>
          <w:rFonts w:asci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bCs/>
          <w:color w:val="auto"/>
          <w:sz w:val="32"/>
          <w:szCs w:val="32"/>
        </w:rPr>
      </w:pPr>
      <w:r>
        <w:rPr>
          <w:rFonts w:ascii="Times New Roman" w:eastAsia="方正仿宋_GBK"/>
          <w:bCs/>
          <w:color w:val="auto"/>
          <w:sz w:val="32"/>
          <w:szCs w:val="32"/>
        </w:rPr>
        <w:t>（四）年度经营业绩考核各项指标均完成目标值时基本分为</w:t>
      </w:r>
      <w:r>
        <w:rPr>
          <w:rFonts w:ascii="Times New Roman" w:hAnsi="Times New Roman" w:eastAsia="方正仿宋_GBK"/>
          <w:bCs/>
          <w:color w:val="auto"/>
          <w:sz w:val="32"/>
          <w:szCs w:val="32"/>
        </w:rPr>
        <w:t>100</w:t>
      </w:r>
      <w:r>
        <w:rPr>
          <w:rFonts w:ascii="Times New Roman" w:eastAsia="方正仿宋_GBK"/>
          <w:bCs/>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bCs/>
          <w:color w:val="auto"/>
          <w:sz w:val="32"/>
          <w:szCs w:val="32"/>
        </w:rPr>
        <w:t>1</w:t>
      </w:r>
      <w:r>
        <w:rPr>
          <w:rFonts w:hint="eastAsia" w:ascii="Times New Roman" w:hAnsi="Times New Roman" w:eastAsia="方正仿宋_GBK"/>
          <w:bCs/>
          <w:color w:val="auto"/>
          <w:sz w:val="32"/>
          <w:szCs w:val="32"/>
        </w:rPr>
        <w:t>．</w:t>
      </w:r>
      <w:r>
        <w:rPr>
          <w:rFonts w:ascii="Times New Roman" w:eastAsia="方正仿宋_GBK"/>
          <w:bCs/>
          <w:color w:val="auto"/>
          <w:sz w:val="32"/>
          <w:szCs w:val="32"/>
        </w:rPr>
        <w:t>基本指标，基本分为</w:t>
      </w:r>
      <w:r>
        <w:rPr>
          <w:rFonts w:ascii="Times New Roman" w:hAnsi="Times New Roman" w:eastAsia="方正仿宋_GBK"/>
          <w:bCs/>
          <w:color w:val="auto"/>
          <w:sz w:val="32"/>
          <w:szCs w:val="32"/>
        </w:rPr>
        <w:t>50</w:t>
      </w:r>
      <w:r>
        <w:rPr>
          <w:rFonts w:ascii="Times New Roman" w:eastAsia="方正仿宋_GBK"/>
          <w:bCs/>
          <w:color w:val="auto"/>
          <w:sz w:val="32"/>
          <w:szCs w:val="32"/>
        </w:rPr>
        <w:t>分。</w:t>
      </w:r>
      <w:r>
        <w:rPr>
          <w:rFonts w:ascii="Times New Roman" w:eastAsia="方正仿宋_GBK"/>
          <w:color w:val="auto"/>
          <w:sz w:val="32"/>
          <w:szCs w:val="32"/>
        </w:rPr>
        <w:t>完成目标值得基本分；超过目标值时，绝对值指标每高于</w:t>
      </w:r>
      <w:r>
        <w:rPr>
          <w:rFonts w:ascii="Times New Roman" w:hAnsi="Times New Roman" w:eastAsia="方正仿宋_GBK"/>
          <w:color w:val="auto"/>
          <w:sz w:val="32"/>
          <w:szCs w:val="32"/>
        </w:rPr>
        <w:t>3</w:t>
      </w:r>
      <w:r>
        <w:rPr>
          <w:rFonts w:ascii="Times New Roman" w:eastAsia="方正仿宋_GBK"/>
          <w:color w:val="auto"/>
          <w:sz w:val="32"/>
          <w:szCs w:val="32"/>
        </w:rPr>
        <w:t>个百分点，加</w:t>
      </w:r>
      <w:r>
        <w:rPr>
          <w:rFonts w:ascii="Times New Roman" w:hAnsi="Times New Roman" w:eastAsia="方正仿宋_GBK"/>
          <w:color w:val="auto"/>
          <w:sz w:val="32"/>
          <w:szCs w:val="32"/>
        </w:rPr>
        <w:t>0.5</w:t>
      </w:r>
      <w:r>
        <w:rPr>
          <w:rFonts w:ascii="Times New Roman" w:eastAsia="方正仿宋_GBK"/>
          <w:color w:val="auto"/>
          <w:sz w:val="32"/>
          <w:szCs w:val="32"/>
        </w:rPr>
        <w:t>分，相对值指标每高于</w:t>
      </w:r>
      <w:r>
        <w:rPr>
          <w:rFonts w:ascii="Times New Roman" w:hAnsi="Times New Roman" w:eastAsia="方正仿宋_GBK"/>
          <w:color w:val="auto"/>
          <w:sz w:val="32"/>
          <w:szCs w:val="32"/>
        </w:rPr>
        <w:t>0.5</w:t>
      </w:r>
      <w:r>
        <w:rPr>
          <w:rFonts w:ascii="Times New Roman" w:eastAsia="方正仿宋_GBK"/>
          <w:color w:val="auto"/>
          <w:sz w:val="32"/>
          <w:szCs w:val="32"/>
        </w:rPr>
        <w:t>个百分点，加</w:t>
      </w:r>
      <w:r>
        <w:rPr>
          <w:rFonts w:ascii="Times New Roman" w:hAnsi="Times New Roman" w:eastAsia="方正仿宋_GBK"/>
          <w:color w:val="auto"/>
          <w:sz w:val="32"/>
          <w:szCs w:val="32"/>
        </w:rPr>
        <w:t>0.5</w:t>
      </w:r>
      <w:r>
        <w:rPr>
          <w:rFonts w:ascii="Times New Roman" w:eastAsia="方正仿宋_GBK"/>
          <w:color w:val="auto"/>
          <w:sz w:val="32"/>
          <w:szCs w:val="32"/>
        </w:rPr>
        <w:t>分；绝对值指标每低于</w:t>
      </w:r>
      <w:r>
        <w:rPr>
          <w:rFonts w:ascii="Times New Roman" w:hAnsi="Times New Roman" w:eastAsia="方正仿宋_GBK"/>
          <w:color w:val="auto"/>
          <w:sz w:val="32"/>
          <w:szCs w:val="32"/>
        </w:rPr>
        <w:t>3</w:t>
      </w:r>
      <w:r>
        <w:rPr>
          <w:rFonts w:ascii="Times New Roman" w:eastAsia="方正仿宋_GBK"/>
          <w:color w:val="auto"/>
          <w:sz w:val="32"/>
          <w:szCs w:val="32"/>
        </w:rPr>
        <w:t>个百分点，扣</w:t>
      </w:r>
      <w:r>
        <w:rPr>
          <w:rFonts w:ascii="Times New Roman" w:hAnsi="Times New Roman" w:eastAsia="方正仿宋_GBK"/>
          <w:color w:val="auto"/>
          <w:sz w:val="32"/>
          <w:szCs w:val="32"/>
        </w:rPr>
        <w:t>0.5</w:t>
      </w:r>
      <w:r>
        <w:rPr>
          <w:rFonts w:ascii="Times New Roman" w:eastAsia="方正仿宋_GBK"/>
          <w:color w:val="auto"/>
          <w:sz w:val="32"/>
          <w:szCs w:val="32"/>
        </w:rPr>
        <w:t>分；相对值指标每低于</w:t>
      </w:r>
      <w:r>
        <w:rPr>
          <w:rFonts w:ascii="Times New Roman" w:hAnsi="Times New Roman" w:eastAsia="方正仿宋_GBK"/>
          <w:color w:val="auto"/>
          <w:sz w:val="32"/>
          <w:szCs w:val="32"/>
        </w:rPr>
        <w:t>0.5</w:t>
      </w:r>
      <w:r>
        <w:rPr>
          <w:rFonts w:ascii="Times New Roman" w:eastAsia="方正仿宋_GBK"/>
          <w:color w:val="auto"/>
          <w:sz w:val="32"/>
          <w:szCs w:val="32"/>
        </w:rPr>
        <w:t>个百分点，扣</w:t>
      </w:r>
      <w:r>
        <w:rPr>
          <w:rFonts w:ascii="Times New Roman" w:hAnsi="Times New Roman" w:eastAsia="方正仿宋_GBK"/>
          <w:color w:val="auto"/>
          <w:sz w:val="32"/>
          <w:szCs w:val="32"/>
        </w:rPr>
        <w:t>0.5</w:t>
      </w:r>
      <w:r>
        <w:rPr>
          <w:rFonts w:ascii="Times New Roman" w:eastAsia="方正仿宋_GBK"/>
          <w:color w:val="auto"/>
          <w:sz w:val="32"/>
          <w:szCs w:val="32"/>
        </w:rPr>
        <w:t>分。基本指标的加分与扣分的上限与下限分别为该项指标基本分的</w:t>
      </w:r>
      <w:r>
        <w:rPr>
          <w:rFonts w:ascii="Times New Roman" w:hAnsi="Times New Roman" w:eastAsia="方正仿宋_GBK"/>
          <w:color w:val="auto"/>
          <w:sz w:val="32"/>
          <w:szCs w:val="32"/>
        </w:rPr>
        <w:t>20%</w:t>
      </w:r>
      <w:r>
        <w:rPr>
          <w:rFonts w:ascii="Times New Roman" w:eastAsia="方正仿宋_GBK"/>
          <w:color w:val="auto"/>
          <w:sz w:val="32"/>
          <w:szCs w:val="32"/>
        </w:rPr>
        <w:t>（按权重数计算），最多加减分值为</w:t>
      </w:r>
      <w:r>
        <w:rPr>
          <w:rFonts w:ascii="Times New Roman" w:hAnsi="Times New Roman" w:eastAsia="方正仿宋_GBK"/>
          <w:color w:val="auto"/>
          <w:sz w:val="32"/>
          <w:szCs w:val="32"/>
        </w:rPr>
        <w:t>10</w:t>
      </w:r>
      <w:r>
        <w:rPr>
          <w:rFonts w:ascii="Times New Roman" w:eastAsia="方正仿宋_GBK"/>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bCs/>
          <w:color w:val="auto"/>
          <w:sz w:val="32"/>
          <w:szCs w:val="32"/>
        </w:rPr>
        <w:t>2</w:t>
      </w:r>
      <w:r>
        <w:rPr>
          <w:rFonts w:hint="eastAsia" w:ascii="Times New Roman" w:hAnsi="Times New Roman" w:eastAsia="方正仿宋_GBK"/>
          <w:bCs/>
          <w:color w:val="auto"/>
          <w:sz w:val="32"/>
          <w:szCs w:val="32"/>
        </w:rPr>
        <w:t>．</w:t>
      </w:r>
      <w:r>
        <w:rPr>
          <w:rFonts w:ascii="Times New Roman" w:eastAsia="方正仿宋_GBK"/>
          <w:bCs/>
          <w:color w:val="auto"/>
          <w:sz w:val="32"/>
          <w:szCs w:val="32"/>
        </w:rPr>
        <w:t>分类指标，基本分为</w:t>
      </w:r>
      <w:r>
        <w:rPr>
          <w:rFonts w:ascii="Times New Roman" w:hAnsi="Times New Roman" w:eastAsia="方正仿宋_GBK"/>
          <w:bCs/>
          <w:color w:val="auto"/>
          <w:sz w:val="32"/>
          <w:szCs w:val="32"/>
        </w:rPr>
        <w:t>30</w:t>
      </w:r>
      <w:r>
        <w:rPr>
          <w:rFonts w:ascii="Times New Roman" w:eastAsia="方正仿宋_GBK"/>
          <w:bCs/>
          <w:color w:val="auto"/>
          <w:sz w:val="32"/>
          <w:szCs w:val="32"/>
        </w:rPr>
        <w:t>分。</w:t>
      </w:r>
      <w:r>
        <w:rPr>
          <w:rFonts w:ascii="Times New Roman" w:eastAsia="方正仿宋_GBK"/>
          <w:color w:val="auto"/>
          <w:sz w:val="32"/>
          <w:szCs w:val="32"/>
        </w:rPr>
        <w:t>绝对值指标每高于</w:t>
      </w:r>
      <w:r>
        <w:rPr>
          <w:rFonts w:ascii="Times New Roman" w:hAnsi="Times New Roman" w:eastAsia="方正仿宋_GBK"/>
          <w:color w:val="auto"/>
          <w:sz w:val="32"/>
          <w:szCs w:val="32"/>
        </w:rPr>
        <w:t>3</w:t>
      </w:r>
      <w:r>
        <w:rPr>
          <w:rFonts w:ascii="Times New Roman" w:eastAsia="方正仿宋_GBK"/>
          <w:color w:val="auto"/>
          <w:sz w:val="32"/>
          <w:szCs w:val="32"/>
        </w:rPr>
        <w:t>个百分点，加</w:t>
      </w:r>
      <w:r>
        <w:rPr>
          <w:rFonts w:ascii="Times New Roman" w:hAnsi="Times New Roman" w:eastAsia="方正仿宋_GBK"/>
          <w:color w:val="auto"/>
          <w:sz w:val="32"/>
          <w:szCs w:val="32"/>
        </w:rPr>
        <w:t>0.5</w:t>
      </w:r>
      <w:r>
        <w:rPr>
          <w:rFonts w:ascii="Times New Roman" w:eastAsia="方正仿宋_GBK"/>
          <w:color w:val="auto"/>
          <w:sz w:val="32"/>
          <w:szCs w:val="32"/>
        </w:rPr>
        <w:t>分，相对值指标每高于</w:t>
      </w:r>
      <w:r>
        <w:rPr>
          <w:rFonts w:ascii="Times New Roman" w:hAnsi="Times New Roman" w:eastAsia="方正仿宋_GBK"/>
          <w:color w:val="auto"/>
          <w:sz w:val="32"/>
          <w:szCs w:val="32"/>
        </w:rPr>
        <w:t>0.5</w:t>
      </w:r>
      <w:r>
        <w:rPr>
          <w:rFonts w:ascii="Times New Roman" w:eastAsia="方正仿宋_GBK"/>
          <w:color w:val="auto"/>
          <w:sz w:val="32"/>
          <w:szCs w:val="32"/>
        </w:rPr>
        <w:t>个百分点，加</w:t>
      </w:r>
      <w:r>
        <w:rPr>
          <w:rFonts w:ascii="Times New Roman" w:hAnsi="Times New Roman" w:eastAsia="方正仿宋_GBK"/>
          <w:color w:val="auto"/>
          <w:sz w:val="32"/>
          <w:szCs w:val="32"/>
        </w:rPr>
        <w:t>0.5</w:t>
      </w:r>
      <w:r>
        <w:rPr>
          <w:rFonts w:ascii="Times New Roman" w:eastAsia="方正仿宋_GBK"/>
          <w:color w:val="auto"/>
          <w:sz w:val="32"/>
          <w:szCs w:val="32"/>
        </w:rPr>
        <w:t>分；绝对值指标每低于</w:t>
      </w:r>
      <w:r>
        <w:rPr>
          <w:rFonts w:ascii="Times New Roman" w:hAnsi="Times New Roman" w:eastAsia="方正仿宋_GBK"/>
          <w:color w:val="auto"/>
          <w:sz w:val="32"/>
          <w:szCs w:val="32"/>
        </w:rPr>
        <w:t>3</w:t>
      </w:r>
      <w:r>
        <w:rPr>
          <w:rFonts w:ascii="Times New Roman" w:eastAsia="方正仿宋_GBK"/>
          <w:color w:val="auto"/>
          <w:sz w:val="32"/>
          <w:szCs w:val="32"/>
        </w:rPr>
        <w:t>个百分点，扣</w:t>
      </w:r>
      <w:r>
        <w:rPr>
          <w:rFonts w:ascii="Times New Roman" w:hAnsi="Times New Roman" w:eastAsia="方正仿宋_GBK"/>
          <w:color w:val="auto"/>
          <w:sz w:val="32"/>
          <w:szCs w:val="32"/>
        </w:rPr>
        <w:t>0.5</w:t>
      </w:r>
      <w:r>
        <w:rPr>
          <w:rFonts w:ascii="Times New Roman" w:eastAsia="方正仿宋_GBK"/>
          <w:color w:val="auto"/>
          <w:sz w:val="32"/>
          <w:szCs w:val="32"/>
        </w:rPr>
        <w:t>分；相对值指标每低于</w:t>
      </w:r>
      <w:r>
        <w:rPr>
          <w:rFonts w:ascii="Times New Roman" w:hAnsi="Times New Roman" w:eastAsia="方正仿宋_GBK"/>
          <w:color w:val="auto"/>
          <w:sz w:val="32"/>
          <w:szCs w:val="32"/>
        </w:rPr>
        <w:t>0.5</w:t>
      </w:r>
      <w:r>
        <w:rPr>
          <w:rFonts w:ascii="Times New Roman" w:eastAsia="方正仿宋_GBK"/>
          <w:color w:val="auto"/>
          <w:sz w:val="32"/>
          <w:szCs w:val="32"/>
        </w:rPr>
        <w:t>个百分点，扣</w:t>
      </w:r>
      <w:r>
        <w:rPr>
          <w:rFonts w:ascii="Times New Roman" w:hAnsi="Times New Roman" w:eastAsia="方正仿宋_GBK"/>
          <w:color w:val="auto"/>
          <w:sz w:val="32"/>
          <w:szCs w:val="32"/>
        </w:rPr>
        <w:t>0.5</w:t>
      </w:r>
      <w:r>
        <w:rPr>
          <w:rFonts w:ascii="Times New Roman" w:eastAsia="方正仿宋_GBK"/>
          <w:color w:val="auto"/>
          <w:sz w:val="32"/>
          <w:szCs w:val="32"/>
        </w:rPr>
        <w:t>分。加分与扣分的上限与下限分别为该项指标基本分的</w:t>
      </w:r>
      <w:r>
        <w:rPr>
          <w:rFonts w:ascii="Times New Roman" w:hAnsi="Times New Roman" w:eastAsia="方正仿宋_GBK"/>
          <w:color w:val="auto"/>
          <w:sz w:val="32"/>
          <w:szCs w:val="32"/>
        </w:rPr>
        <w:t>20%</w:t>
      </w:r>
      <w:r>
        <w:rPr>
          <w:rFonts w:ascii="Times New Roman" w:eastAsia="方正仿宋_GBK"/>
          <w:color w:val="auto"/>
          <w:sz w:val="32"/>
          <w:szCs w:val="32"/>
        </w:rPr>
        <w:t>（按权重数计算），最多加减分值为</w:t>
      </w:r>
      <w:r>
        <w:rPr>
          <w:rFonts w:ascii="Times New Roman" w:hAnsi="Times New Roman" w:eastAsia="方正仿宋_GBK"/>
          <w:color w:val="auto"/>
          <w:sz w:val="32"/>
          <w:szCs w:val="32"/>
        </w:rPr>
        <w:t>6</w:t>
      </w:r>
      <w:r>
        <w:rPr>
          <w:rFonts w:ascii="Times New Roman" w:eastAsia="方正仿宋_GBK"/>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bookmarkStart w:id="0" w:name="OLE_LINK6"/>
      <w:r>
        <w:rPr>
          <w:rFonts w:ascii="Times New Roman" w:hAnsi="Times New Roman" w:eastAsia="方正仿宋_GBK"/>
          <w:bCs/>
          <w:color w:val="auto"/>
          <w:sz w:val="32"/>
          <w:szCs w:val="32"/>
        </w:rPr>
        <w:t>3</w:t>
      </w:r>
      <w:r>
        <w:rPr>
          <w:rFonts w:hint="eastAsia" w:ascii="Times New Roman" w:hAnsi="Times New Roman" w:eastAsia="方正仿宋_GBK"/>
          <w:bCs/>
          <w:color w:val="auto"/>
          <w:sz w:val="32"/>
          <w:szCs w:val="32"/>
        </w:rPr>
        <w:t>．</w:t>
      </w:r>
      <w:bookmarkEnd w:id="0"/>
      <w:r>
        <w:rPr>
          <w:rFonts w:ascii="Times New Roman" w:eastAsia="方正仿宋_GBK"/>
          <w:bCs/>
          <w:color w:val="auto"/>
          <w:sz w:val="32"/>
          <w:szCs w:val="32"/>
        </w:rPr>
        <w:t>综合评价指标，基本分为</w:t>
      </w:r>
      <w:r>
        <w:rPr>
          <w:rFonts w:ascii="Times New Roman" w:hAnsi="Times New Roman" w:eastAsia="方正仿宋_GBK"/>
          <w:bCs/>
          <w:color w:val="auto"/>
          <w:sz w:val="32"/>
          <w:szCs w:val="32"/>
        </w:rPr>
        <w:t>20</w:t>
      </w:r>
      <w:r>
        <w:rPr>
          <w:rFonts w:ascii="Times New Roman" w:eastAsia="方正仿宋_GBK"/>
          <w:bCs/>
          <w:color w:val="auto"/>
          <w:sz w:val="32"/>
          <w:szCs w:val="32"/>
        </w:rPr>
        <w:t>分。</w:t>
      </w:r>
      <w:r>
        <w:rPr>
          <w:rFonts w:ascii="Times New Roman" w:eastAsia="方正仿宋_GBK"/>
          <w:color w:val="auto"/>
          <w:sz w:val="32"/>
          <w:szCs w:val="32"/>
        </w:rPr>
        <w:t>由县国资委组织从贯彻落实国有资产监督管理制度及办法情况、党建工作、产业发展、公司治理及管理创新、安全生产、廉洁从业、风险控制等</w:t>
      </w:r>
      <w:r>
        <w:rPr>
          <w:rFonts w:ascii="Times New Roman" w:hAnsi="Times New Roman" w:eastAsia="方正仿宋_GBK"/>
          <w:color w:val="auto"/>
          <w:sz w:val="32"/>
          <w:szCs w:val="32"/>
        </w:rPr>
        <w:t>7</w:t>
      </w:r>
      <w:r>
        <w:rPr>
          <w:rFonts w:ascii="Times New Roman" w:eastAsia="方正仿宋_GBK"/>
          <w:color w:val="auto"/>
          <w:sz w:val="32"/>
          <w:szCs w:val="32"/>
        </w:rPr>
        <w:t>个方面进行综合打分。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bCs/>
          <w:color w:val="auto"/>
          <w:sz w:val="32"/>
          <w:szCs w:val="32"/>
        </w:rPr>
      </w:pPr>
      <w:r>
        <w:rPr>
          <w:rFonts w:ascii="Times New Roman" w:eastAsia="方正仿宋_GBK"/>
          <w:bCs/>
          <w:color w:val="auto"/>
          <w:sz w:val="32"/>
          <w:szCs w:val="32"/>
        </w:rPr>
        <w:t>（五）考核分级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eastAsia="方正仿宋_GBK"/>
          <w:color w:val="auto"/>
          <w:sz w:val="32"/>
          <w:szCs w:val="32"/>
        </w:rPr>
        <w:t>根据企业年度经营业绩考核的综合得分，考核结果分为</w:t>
      </w:r>
      <w:r>
        <w:rPr>
          <w:rFonts w:ascii="Times New Roman" w:hAnsi="Times New Roman" w:eastAsia="方正仿宋_GBK"/>
          <w:color w:val="auto"/>
          <w:sz w:val="32"/>
          <w:szCs w:val="32"/>
        </w:rPr>
        <w:t>A</w:t>
      </w:r>
      <w:r>
        <w:rPr>
          <w:rFonts w:ascii="Times New Roman" w:eastAsia="方正仿宋_GBK"/>
          <w:color w:val="auto"/>
          <w:sz w:val="32"/>
          <w:szCs w:val="32"/>
        </w:rPr>
        <w:t>、</w:t>
      </w:r>
      <w:r>
        <w:rPr>
          <w:rFonts w:ascii="Times New Roman" w:hAnsi="Times New Roman" w:eastAsia="方正仿宋_GBK"/>
          <w:color w:val="auto"/>
          <w:sz w:val="32"/>
          <w:szCs w:val="32"/>
        </w:rPr>
        <w:t>B</w:t>
      </w:r>
      <w:r>
        <w:rPr>
          <w:rFonts w:ascii="Times New Roman" w:eastAsia="方正仿宋_GBK"/>
          <w:color w:val="auto"/>
          <w:sz w:val="32"/>
          <w:szCs w:val="32"/>
        </w:rPr>
        <w:t>、</w:t>
      </w:r>
      <w:r>
        <w:rPr>
          <w:rFonts w:ascii="Times New Roman" w:hAnsi="Times New Roman" w:eastAsia="方正仿宋_GBK"/>
          <w:color w:val="auto"/>
          <w:sz w:val="32"/>
          <w:szCs w:val="32"/>
        </w:rPr>
        <w:t>C</w:t>
      </w:r>
      <w:r>
        <w:rPr>
          <w:rFonts w:ascii="Times New Roman" w:eastAsia="方正仿宋_GBK"/>
          <w:color w:val="auto"/>
          <w:sz w:val="32"/>
          <w:szCs w:val="32"/>
        </w:rPr>
        <w:t>、</w:t>
      </w:r>
      <w:r>
        <w:rPr>
          <w:rFonts w:ascii="Times New Roman" w:hAnsi="Times New Roman" w:eastAsia="方正仿宋_GBK"/>
          <w:color w:val="auto"/>
          <w:sz w:val="32"/>
          <w:szCs w:val="32"/>
        </w:rPr>
        <w:t>D</w:t>
      </w:r>
      <w:r>
        <w:rPr>
          <w:rFonts w:ascii="Times New Roman" w:eastAsia="方正仿宋_GBK"/>
          <w:color w:val="auto"/>
          <w:sz w:val="32"/>
          <w:szCs w:val="32"/>
        </w:rPr>
        <w:t>、</w:t>
      </w:r>
      <w:r>
        <w:rPr>
          <w:rFonts w:ascii="Times New Roman" w:hAnsi="Times New Roman" w:eastAsia="方正仿宋_GBK"/>
          <w:color w:val="auto"/>
          <w:sz w:val="32"/>
          <w:szCs w:val="32"/>
        </w:rPr>
        <w:t>E</w:t>
      </w:r>
      <w:r>
        <w:rPr>
          <w:rFonts w:ascii="Times New Roman" w:eastAsia="方正仿宋_GBK"/>
          <w:color w:val="auto"/>
          <w:sz w:val="32"/>
          <w:szCs w:val="32"/>
        </w:rPr>
        <w:t>五个级别。对于考核利润总额较上年下降的企业，考核级别不超过</w:t>
      </w:r>
      <w:r>
        <w:rPr>
          <w:rFonts w:ascii="Times New Roman" w:hAnsi="Times New Roman" w:eastAsia="方正仿宋_GBK"/>
          <w:color w:val="auto"/>
          <w:sz w:val="32"/>
          <w:szCs w:val="32"/>
        </w:rPr>
        <w:t>B</w:t>
      </w:r>
      <w:r>
        <w:rPr>
          <w:rFonts w:ascii="Times New Roman" w:eastAsia="方正仿宋_GBK"/>
          <w:color w:val="auto"/>
          <w:sz w:val="32"/>
          <w:szCs w:val="32"/>
        </w:rPr>
        <w:t>级最高限。对于仍处于亏损状态的企业，考核级别不超过</w:t>
      </w:r>
      <w:r>
        <w:rPr>
          <w:rFonts w:ascii="Times New Roman" w:hAnsi="Times New Roman" w:eastAsia="方正仿宋_GBK"/>
          <w:color w:val="auto"/>
          <w:sz w:val="32"/>
          <w:szCs w:val="32"/>
        </w:rPr>
        <w:t>C</w:t>
      </w:r>
      <w:r>
        <w:rPr>
          <w:rFonts w:ascii="Times New Roman" w:eastAsia="方正仿宋_GBK"/>
          <w:color w:val="auto"/>
          <w:sz w:val="32"/>
          <w:szCs w:val="32"/>
        </w:rPr>
        <w:t>级最高限。对于由盈利转为亏损的和处于亏损状态且较上年增亏的企业，考核级别不超过</w:t>
      </w:r>
      <w:r>
        <w:rPr>
          <w:rFonts w:ascii="Times New Roman" w:hAnsi="Times New Roman" w:eastAsia="方正仿宋_GBK"/>
          <w:color w:val="auto"/>
          <w:sz w:val="32"/>
          <w:szCs w:val="32"/>
        </w:rPr>
        <w:t>D</w:t>
      </w:r>
      <w:r>
        <w:rPr>
          <w:rFonts w:ascii="Times New Roman" w:eastAsia="方正仿宋_GBK"/>
          <w:color w:val="auto"/>
          <w:sz w:val="32"/>
          <w:szCs w:val="32"/>
        </w:rPr>
        <w:t>级最高限。五个级别划分如下：</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95"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Calibri" w:eastAsia="方正仿宋_GBK" w:cs="Times New Roman"/>
                <w:color w:val="auto"/>
                <w:kern w:val="0"/>
                <w:sz w:val="32"/>
                <w:szCs w:val="32"/>
              </w:rPr>
              <w:t>考核得分</w:t>
            </w:r>
          </w:p>
        </w:tc>
        <w:tc>
          <w:tcPr>
            <w:tcW w:w="3027"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对应等级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95"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110</w:t>
            </w:r>
            <w:r>
              <w:rPr>
                <w:rFonts w:ascii="Times New Roman" w:hAnsi="Calibri" w:eastAsia="方正仿宋_GBK" w:cs="Times New Roman"/>
                <w:color w:val="auto"/>
                <w:kern w:val="0"/>
                <w:sz w:val="32"/>
                <w:szCs w:val="32"/>
              </w:rPr>
              <w:t>分＜考核得分</w:t>
            </w:r>
            <w:r>
              <w:rPr>
                <w:rFonts w:ascii="Times New Roman" w:hAnsi="Times New Roman" w:eastAsia="方正仿宋_GBK" w:cs="Times New Roman"/>
                <w:color w:val="auto"/>
                <w:kern w:val="0"/>
                <w:sz w:val="32"/>
                <w:szCs w:val="32"/>
              </w:rPr>
              <w:t>≤116</w:t>
            </w:r>
            <w:r>
              <w:rPr>
                <w:rFonts w:ascii="Times New Roman" w:hAnsi="Calibri" w:eastAsia="方正仿宋_GBK" w:cs="Times New Roman"/>
                <w:color w:val="auto"/>
                <w:kern w:val="0"/>
                <w:sz w:val="32"/>
                <w:szCs w:val="32"/>
              </w:rPr>
              <w:t>分</w:t>
            </w:r>
          </w:p>
        </w:tc>
        <w:tc>
          <w:tcPr>
            <w:tcW w:w="3027" w:type="dxa"/>
            <w:vAlign w:val="top"/>
          </w:tcPr>
          <w:p>
            <w:pPr>
              <w:spacing w:line="600" w:lineRule="exact"/>
              <w:ind w:firstLine="1280" w:firstLineChars="4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95"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100</w:t>
            </w:r>
            <w:r>
              <w:rPr>
                <w:rFonts w:ascii="Times New Roman" w:hAnsi="Calibri" w:eastAsia="方正仿宋_GBK" w:cs="Times New Roman"/>
                <w:color w:val="auto"/>
                <w:kern w:val="0"/>
                <w:sz w:val="32"/>
                <w:szCs w:val="32"/>
              </w:rPr>
              <w:t>分＜考核得分</w:t>
            </w:r>
            <w:r>
              <w:rPr>
                <w:rFonts w:ascii="Times New Roman" w:hAnsi="Times New Roman" w:eastAsia="方正仿宋_GBK" w:cs="Times New Roman"/>
                <w:color w:val="auto"/>
                <w:kern w:val="0"/>
                <w:sz w:val="32"/>
                <w:szCs w:val="32"/>
              </w:rPr>
              <w:t>≤110</w:t>
            </w:r>
            <w:r>
              <w:rPr>
                <w:rFonts w:ascii="Times New Roman" w:hAnsi="Calibri" w:eastAsia="方正仿宋_GBK" w:cs="Times New Roman"/>
                <w:color w:val="auto"/>
                <w:kern w:val="0"/>
                <w:sz w:val="32"/>
                <w:szCs w:val="32"/>
              </w:rPr>
              <w:t>分</w:t>
            </w:r>
          </w:p>
        </w:tc>
        <w:tc>
          <w:tcPr>
            <w:tcW w:w="3027" w:type="dxa"/>
            <w:vAlign w:val="top"/>
          </w:tcPr>
          <w:p>
            <w:pPr>
              <w:spacing w:line="600" w:lineRule="exact"/>
              <w:ind w:firstLine="1280" w:firstLineChars="4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95"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90</w:t>
            </w:r>
            <w:r>
              <w:rPr>
                <w:rFonts w:ascii="Times New Roman" w:hAnsi="Calibri" w:eastAsia="方正仿宋_GBK" w:cs="Times New Roman"/>
                <w:color w:val="auto"/>
                <w:kern w:val="0"/>
                <w:sz w:val="32"/>
                <w:szCs w:val="32"/>
              </w:rPr>
              <w:t>分＜考核得分</w:t>
            </w:r>
            <w:r>
              <w:rPr>
                <w:rFonts w:ascii="Times New Roman" w:hAnsi="Times New Roman" w:eastAsia="方正仿宋_GBK" w:cs="Times New Roman"/>
                <w:color w:val="auto"/>
                <w:kern w:val="0"/>
                <w:sz w:val="32"/>
                <w:szCs w:val="32"/>
              </w:rPr>
              <w:t>≤100</w:t>
            </w:r>
            <w:r>
              <w:rPr>
                <w:rFonts w:ascii="Times New Roman" w:hAnsi="Calibri" w:eastAsia="方正仿宋_GBK" w:cs="Times New Roman"/>
                <w:color w:val="auto"/>
                <w:kern w:val="0"/>
                <w:sz w:val="32"/>
                <w:szCs w:val="32"/>
              </w:rPr>
              <w:t>分</w:t>
            </w:r>
          </w:p>
        </w:tc>
        <w:tc>
          <w:tcPr>
            <w:tcW w:w="3027" w:type="dxa"/>
            <w:vAlign w:val="top"/>
          </w:tcPr>
          <w:p>
            <w:pPr>
              <w:spacing w:line="600" w:lineRule="exact"/>
              <w:ind w:firstLine="1280" w:firstLineChars="4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95"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80</w:t>
            </w:r>
            <w:r>
              <w:rPr>
                <w:rFonts w:ascii="Times New Roman" w:hAnsi="Calibri" w:eastAsia="方正仿宋_GBK" w:cs="Times New Roman"/>
                <w:color w:val="auto"/>
                <w:kern w:val="0"/>
                <w:sz w:val="32"/>
                <w:szCs w:val="32"/>
              </w:rPr>
              <w:t>分＜考核得分</w:t>
            </w:r>
            <w:r>
              <w:rPr>
                <w:rFonts w:ascii="Times New Roman" w:hAnsi="Times New Roman" w:eastAsia="方正仿宋_GBK" w:cs="Times New Roman"/>
                <w:color w:val="auto"/>
                <w:kern w:val="0"/>
                <w:sz w:val="32"/>
                <w:szCs w:val="32"/>
              </w:rPr>
              <w:t>≤90</w:t>
            </w:r>
            <w:r>
              <w:rPr>
                <w:rFonts w:ascii="Times New Roman" w:hAnsi="Calibri" w:eastAsia="方正仿宋_GBK" w:cs="Times New Roman"/>
                <w:color w:val="auto"/>
                <w:kern w:val="0"/>
                <w:sz w:val="32"/>
                <w:szCs w:val="32"/>
              </w:rPr>
              <w:t>分</w:t>
            </w:r>
          </w:p>
        </w:tc>
        <w:tc>
          <w:tcPr>
            <w:tcW w:w="3027" w:type="dxa"/>
            <w:vAlign w:val="top"/>
          </w:tcPr>
          <w:p>
            <w:pPr>
              <w:spacing w:line="600" w:lineRule="exact"/>
              <w:ind w:firstLine="1280" w:firstLineChars="4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95" w:type="dxa"/>
            <w:vAlign w:val="top"/>
          </w:tcPr>
          <w:p>
            <w:pPr>
              <w:spacing w:line="600" w:lineRule="exact"/>
              <w:jc w:val="center"/>
              <w:rPr>
                <w:rFonts w:ascii="Times New Roman" w:hAnsi="Times New Roman" w:eastAsia="方正仿宋_GBK" w:cs="Times New Roman"/>
                <w:color w:val="auto"/>
                <w:kern w:val="0"/>
                <w:sz w:val="32"/>
                <w:szCs w:val="32"/>
              </w:rPr>
            </w:pPr>
            <w:r>
              <w:rPr>
                <w:rFonts w:ascii="Times New Roman" w:hAnsi="Calibri" w:eastAsia="方正仿宋_GBK" w:cs="Times New Roman"/>
                <w:color w:val="auto"/>
                <w:kern w:val="0"/>
                <w:sz w:val="32"/>
                <w:szCs w:val="32"/>
              </w:rPr>
              <w:t>考核得分</w:t>
            </w:r>
            <w:r>
              <w:rPr>
                <w:rFonts w:ascii="Times New Roman" w:hAnsi="Times New Roman" w:eastAsia="方正仿宋_GBK" w:cs="Times New Roman"/>
                <w:color w:val="auto"/>
                <w:kern w:val="0"/>
                <w:sz w:val="32"/>
                <w:szCs w:val="32"/>
              </w:rPr>
              <w:t>≤80</w:t>
            </w:r>
            <w:r>
              <w:rPr>
                <w:rFonts w:ascii="Times New Roman" w:hAnsi="Calibri" w:eastAsia="方正仿宋_GBK" w:cs="Times New Roman"/>
                <w:color w:val="auto"/>
                <w:kern w:val="0"/>
                <w:sz w:val="32"/>
                <w:szCs w:val="32"/>
              </w:rPr>
              <w:t>分</w:t>
            </w:r>
          </w:p>
        </w:tc>
        <w:tc>
          <w:tcPr>
            <w:tcW w:w="3027" w:type="dxa"/>
            <w:vAlign w:val="top"/>
          </w:tcPr>
          <w:p>
            <w:pPr>
              <w:spacing w:line="600" w:lineRule="exact"/>
              <w:ind w:firstLine="1280" w:firstLineChars="40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E</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imes New Roman" w:hAnsi="Times New Roman" w:eastAsia="方正黑体_GBK"/>
          <w:bCs/>
          <w:color w:val="auto"/>
          <w:sz w:val="32"/>
          <w:szCs w:val="32"/>
        </w:rPr>
      </w:pPr>
      <w:r>
        <w:rPr>
          <w:rFonts w:ascii="Times New Roman" w:eastAsia="方正黑体_GBK"/>
          <w:bCs/>
          <w:color w:val="auto"/>
          <w:spacing w:val="-6"/>
          <w:sz w:val="32"/>
          <w:szCs w:val="32"/>
        </w:rPr>
        <w:t>第三章</w:t>
      </w:r>
      <w:r>
        <w:rPr>
          <w:rFonts w:hint="eastAsia" w:eastAsia="方正黑体_GBK"/>
          <w:bCs/>
          <w:color w:val="auto"/>
          <w:spacing w:val="-6"/>
          <w:sz w:val="32"/>
          <w:szCs w:val="32"/>
          <w:lang w:val="en-US" w:eastAsia="zh-CN"/>
        </w:rPr>
        <w:t xml:space="preserve"> </w:t>
      </w:r>
      <w:r>
        <w:rPr>
          <w:rFonts w:ascii="Times New Roman" w:hAnsi="Times New Roman" w:eastAsia="方正黑体_GBK"/>
          <w:bCs/>
          <w:color w:val="auto"/>
          <w:spacing w:val="-6"/>
          <w:sz w:val="32"/>
          <w:szCs w:val="32"/>
        </w:rPr>
        <w:t xml:space="preserve"> </w:t>
      </w:r>
      <w:r>
        <w:rPr>
          <w:rFonts w:ascii="Times New Roman" w:eastAsia="方正黑体_GBK"/>
          <w:bCs/>
          <w:color w:val="auto"/>
          <w:spacing w:val="-6"/>
          <w:sz w:val="32"/>
          <w:szCs w:val="32"/>
        </w:rPr>
        <w:t>任期经营业绩考核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第六条</w:t>
      </w:r>
      <w:r>
        <w:rPr>
          <w:rFonts w:hint="default" w:ascii="Times New Roman" w:hAnsi="Times New Roman" w:eastAsia="方正仿宋_GBK" w:cs="Times New Roman"/>
          <w:b/>
          <w:color w:val="auto"/>
          <w:sz w:val="32"/>
          <w:szCs w:val="32"/>
        </w:rPr>
        <w:t xml:space="preserve"> </w:t>
      </w:r>
      <w:r>
        <w:rPr>
          <w:rFonts w:hint="eastAsia" w:ascii="Times New Roman" w:hAnsi="Times New Roman" w:eastAsia="方正仿宋_GBK" w:cs="Times New Roman"/>
          <w:b/>
          <w:color w:val="auto"/>
          <w:sz w:val="32"/>
          <w:szCs w:val="32"/>
          <w:lang w:val="en-US" w:eastAsia="zh-CN"/>
        </w:rPr>
        <w:t xml:space="preserve"> </w:t>
      </w:r>
      <w:r>
        <w:rPr>
          <w:rFonts w:hint="default" w:ascii="Times New Roman" w:hAnsi="Times New Roman" w:eastAsia="方正仿宋_GBK" w:cs="Times New Roman"/>
          <w:color w:val="auto"/>
          <w:sz w:val="32"/>
          <w:szCs w:val="32"/>
        </w:rPr>
        <w:t>任期经营业绩考核以三年为考核期，与县</w:t>
      </w:r>
      <w:r>
        <w:rPr>
          <w:rFonts w:hint="default" w:ascii="Times New Roman" w:hAnsi="Times New Roman" w:eastAsia="方正仿宋_GBK" w:cs="Times New Roman"/>
          <w:color w:val="auto"/>
          <w:sz w:val="32"/>
          <w:szCs w:val="32"/>
          <w:lang w:val="en-US" w:eastAsia="zh-CN"/>
        </w:rPr>
        <w:t>管</w:t>
      </w:r>
      <w:r>
        <w:rPr>
          <w:rFonts w:hint="default" w:ascii="Times New Roman" w:hAnsi="Times New Roman" w:eastAsia="方正仿宋_GBK" w:cs="Times New Roman"/>
          <w:color w:val="auto"/>
          <w:sz w:val="32"/>
          <w:szCs w:val="32"/>
        </w:rPr>
        <w:t>企业董事会任期一致。如有特殊原因需要调整的，由县国资委研究决定。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第七条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任期经营业绩考核指标包括基本指标、管理评价指标及任期内年度经营业绩考核结果指标。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基本指标，权重70%。结合企业主营业务性质选取具体考核指标确定并在责任书中明确，考核指标原则上不超过三个。以投融资平台公司为例，基本指标为包括国有资本保值增值率、资产负债率和三年资本平均增长率，权重分别为30%、20%、20%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eastAsia="方正仿宋_GBK"/>
          <w:bCs/>
          <w:color w:val="auto"/>
          <w:sz w:val="32"/>
          <w:szCs w:val="32"/>
          <w:lang w:val="en-US" w:eastAsia="zh-CN"/>
        </w:rPr>
        <w:t>1</w:t>
      </w:r>
      <w:r>
        <w:rPr>
          <w:rFonts w:hint="eastAsia" w:ascii="Times New Roman" w:hAnsi="Times New Roman" w:eastAsia="方正仿宋_GBK"/>
          <w:bCs/>
          <w:color w:val="auto"/>
          <w:sz w:val="32"/>
          <w:szCs w:val="32"/>
        </w:rPr>
        <w:t>．</w:t>
      </w:r>
      <w:r>
        <w:rPr>
          <w:rFonts w:hint="default" w:ascii="Times New Roman" w:hAnsi="Times New Roman" w:eastAsia="方正仿宋_GBK" w:cs="Times New Roman"/>
          <w:color w:val="auto"/>
          <w:sz w:val="32"/>
          <w:szCs w:val="32"/>
        </w:rPr>
        <w:t>国有资本保值增值率指任期内三个年度的国有资本保值增值率的算术平均值。用任期内每年末归属于国家所有者权益扣除年内发生的客观增减因素后的余额除以年初归属于国家所有者权益。数据取值于任期每年的《所有者权益变动表》和《国有资产变动情况表》及国有资本保值增值鉴证说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任期国有资本保值增值率=三个年度国有资本保值增值率之和÷3</w:t>
      </w:r>
      <w:r>
        <w:rPr>
          <w:rFonts w:hint="default" w:ascii="Times New Roman" w:hAnsi="Times New Roman" w:eastAsia="方正仿宋_GBK" w:cs="Times New Roman"/>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年度国有资本保值增值率=（扣除客观因素影响后的年末所有者权益÷年初所有者权益）×100%。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eastAsia="方正仿宋_GBK"/>
          <w:bCs/>
          <w:color w:val="auto"/>
          <w:sz w:val="32"/>
          <w:szCs w:val="32"/>
          <w:lang w:val="en-US" w:eastAsia="zh-CN"/>
        </w:rPr>
        <w:t>2</w:t>
      </w:r>
      <w:r>
        <w:rPr>
          <w:rFonts w:hint="eastAsia" w:ascii="Times New Roman" w:hAnsi="Times New Roman" w:eastAsia="方正仿宋_GBK"/>
          <w:bCs/>
          <w:color w:val="auto"/>
          <w:sz w:val="32"/>
          <w:szCs w:val="32"/>
        </w:rPr>
        <w:t>．</w:t>
      </w:r>
      <w:r>
        <w:rPr>
          <w:rFonts w:hint="default" w:ascii="Times New Roman" w:hAnsi="Times New Roman" w:eastAsia="方正仿宋_GBK" w:cs="Times New Roman"/>
          <w:color w:val="auto"/>
          <w:spacing w:val="-6"/>
          <w:sz w:val="32"/>
          <w:szCs w:val="32"/>
        </w:rPr>
        <w:t>资产负债率指任期最后一年的资产负债水平。用任期最后一年负债总额除以资产总额，数据取值于任期最后一年末企业的《资产负债表》。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任期资产负债率=任期最后一年末资产负债率。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ascii="Times New Roman" w:hAnsi="Times New Roman" w:eastAsia="方正仿宋_GBK"/>
          <w:color w:val="auto"/>
          <w:spacing w:val="-6"/>
          <w:sz w:val="32"/>
          <w:szCs w:val="32"/>
        </w:rPr>
      </w:pPr>
      <w:r>
        <w:rPr>
          <w:rFonts w:hint="default" w:ascii="Times New Roman" w:hAnsi="Times New Roman" w:eastAsia="方正仿宋_GBK" w:cs="Times New Roman"/>
          <w:color w:val="auto"/>
          <w:spacing w:val="-6"/>
          <w:sz w:val="32"/>
          <w:szCs w:val="32"/>
        </w:rPr>
        <w:t>三年资本平均增长率表明企业资本连续三年的积累情况，体现企业的发展水平和发展趋势。</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16" w:firstLineChars="200"/>
        <w:jc w:val="both"/>
        <w:textAlignment w:val="auto"/>
        <w:outlineLvl w:val="9"/>
        <w:rPr>
          <w:rFonts w:ascii="Times New Roman" w:hAnsi="Times New Roman" w:eastAsia="方正仿宋_GBK"/>
          <w:color w:val="auto"/>
          <w:sz w:val="32"/>
          <w:szCs w:val="32"/>
        </w:rPr>
      </w:pPr>
      <w:r>
        <w:rPr>
          <w:rFonts w:ascii="Times New Roman" w:eastAsia="方正仿宋_GBK"/>
          <w:color w:val="auto"/>
          <w:spacing w:val="-6"/>
          <w:sz w:val="32"/>
          <w:szCs w:val="32"/>
        </w:rPr>
        <w:t>三年资本平均增长率</w:t>
      </w:r>
      <w:r>
        <w:rPr>
          <w:rFonts w:ascii="Times New Roman" w:hAnsi="Times New Roman" w:eastAsia="方正仿宋_GBK"/>
          <w:color w:val="auto"/>
          <w:spacing w:val="-6"/>
          <w:sz w:val="32"/>
          <w:szCs w:val="32"/>
        </w:rPr>
        <w:t>=</w:t>
      </w:r>
      <w:r>
        <w:rPr>
          <w:rFonts w:ascii="Times New Roman" w:hAnsi="Times New Roman" w:eastAsia="方正仿宋_GBK"/>
          <w:color w:val="auto"/>
          <w:spacing w:val="-6"/>
          <w:sz w:val="32"/>
          <w:szCs w:val="32"/>
        </w:rPr>
        <w:object>
          <v:shape id="_x0000_i1025" o:spt="75" type="#_x0000_t75" style="height:36pt;width:189.5pt;" o:ole="t" filled="f" o:preferrelative="t" stroked="f" coordsize="21600,21600">
            <v:path/>
            <v:fill on="f" focussize="0,0"/>
            <v:stroke on="f" joinstyle="miter"/>
            <v:imagedata r:id="rId5" o:title=""/>
            <o:lock v:ext="edit" aspectratio="t"/>
            <w10:wrap type="none"/>
            <w10:anchorlock/>
          </v:shape>
          <o:OLEObject Type="Embed" ProgID="Equations" ShapeID="_x0000_i1025" DrawAspect="Content" ObjectID="_1468075725" r:id="rId4">
            <o:LockedField>false</o:LockedField>
          </o:OLEObject>
        </w:object>
      </w:r>
      <w:r>
        <w:rPr>
          <w:rFonts w:ascii="Times New Roman" w:hAnsi="Times New Roman" w:eastAsia="方正仿宋_GBK"/>
          <w:color w:val="auto"/>
          <w:spacing w:val="-6"/>
          <w:sz w:val="32"/>
          <w:szCs w:val="32"/>
        </w:rPr>
        <w:t>×100%</w:t>
      </w:r>
      <w:r>
        <w:rPr>
          <w:rFonts w:hint="eastAsia" w:ascii="Times New Roman" w:hAnsi="Times New Roman" w:eastAsia="方正仿宋_GBK"/>
          <w:color w:val="auto"/>
          <w:spacing w:val="-6"/>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eastAsia="方正仿宋_GBK"/>
          <w:color w:val="auto"/>
          <w:spacing w:val="0"/>
          <w:sz w:val="32"/>
          <w:szCs w:val="32"/>
          <w:lang w:eastAsia="zh-CN"/>
        </w:rPr>
        <w:t>（二）</w:t>
      </w:r>
      <w:r>
        <w:rPr>
          <w:rFonts w:ascii="Times New Roman" w:eastAsia="方正仿宋_GBK"/>
          <w:color w:val="auto"/>
          <w:spacing w:val="0"/>
          <w:sz w:val="32"/>
          <w:szCs w:val="32"/>
        </w:rPr>
        <w:t>管理评价指标，权重</w:t>
      </w:r>
      <w:r>
        <w:rPr>
          <w:rFonts w:ascii="Times New Roman" w:hAnsi="Times New Roman" w:eastAsia="方正仿宋_GBK"/>
          <w:color w:val="auto"/>
          <w:spacing w:val="0"/>
          <w:sz w:val="32"/>
          <w:szCs w:val="32"/>
        </w:rPr>
        <w:t>20%</w:t>
      </w:r>
      <w:r>
        <w:rPr>
          <w:rFonts w:ascii="Times New Roman" w:eastAsia="方正仿宋_GBK"/>
          <w:color w:val="auto"/>
          <w:spacing w:val="0"/>
          <w:sz w:val="32"/>
          <w:szCs w:val="32"/>
        </w:rPr>
        <w:t>。管理评价是指企业负责人在考核期内</w:t>
      </w:r>
      <w:r>
        <w:rPr>
          <w:rFonts w:ascii="Times New Roman" w:hAnsi="Times New Roman" w:eastAsia="方正仿宋_GBK"/>
          <w:color w:val="auto"/>
          <w:spacing w:val="0"/>
          <w:sz w:val="32"/>
          <w:szCs w:val="32"/>
        </w:rPr>
        <w:t>“</w:t>
      </w:r>
      <w:r>
        <w:rPr>
          <w:rFonts w:ascii="Times New Roman" w:eastAsia="方正仿宋_GBK"/>
          <w:color w:val="auto"/>
          <w:spacing w:val="0"/>
          <w:sz w:val="32"/>
          <w:szCs w:val="32"/>
        </w:rPr>
        <w:t>主业转方式调结构、资本结构优化、创新驱动发展、公司治理、内部控制及风险防范</w:t>
      </w:r>
      <w:r>
        <w:rPr>
          <w:rFonts w:ascii="Times New Roman" w:hAnsi="Times New Roman" w:eastAsia="方正仿宋_GBK"/>
          <w:color w:val="auto"/>
          <w:spacing w:val="0"/>
          <w:sz w:val="32"/>
          <w:szCs w:val="32"/>
        </w:rPr>
        <w:t>”</w:t>
      </w:r>
      <w:r>
        <w:rPr>
          <w:rFonts w:ascii="Times New Roman" w:eastAsia="方正仿宋_GBK"/>
          <w:color w:val="auto"/>
          <w:spacing w:val="0"/>
          <w:sz w:val="32"/>
          <w:szCs w:val="32"/>
        </w:rPr>
        <w:t>等方面工作绩效的评议。（具体详见附件</w:t>
      </w:r>
      <w:r>
        <w:rPr>
          <w:rFonts w:ascii="Times New Roman" w:hAnsi="Times New Roman" w:eastAsia="方正仿宋_GBK"/>
          <w:color w:val="auto"/>
          <w:spacing w:val="0"/>
          <w:sz w:val="32"/>
          <w:szCs w:val="32"/>
        </w:rPr>
        <w:t>3</w:t>
      </w:r>
      <w:r>
        <w:rPr>
          <w:rFonts w:ascii="Times New Roman" w:eastAsia="方正仿宋_GBK"/>
          <w:color w:val="auto"/>
          <w:spacing w:val="0"/>
          <w:sz w:val="32"/>
          <w:szCs w:val="32"/>
        </w:rPr>
        <w:t>）</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Times New Roman" w:hAnsi="Times New Roman" w:eastAsia="方正仿宋_GBK"/>
          <w:color w:val="auto"/>
          <w:spacing w:val="0"/>
          <w:sz w:val="32"/>
          <w:szCs w:val="32"/>
          <w:lang w:eastAsia="zh-CN"/>
        </w:rPr>
        <w:t>（三）</w:t>
      </w:r>
      <w:r>
        <w:rPr>
          <w:rFonts w:ascii="Times New Roman" w:eastAsia="方正仿宋_GBK"/>
          <w:color w:val="auto"/>
          <w:spacing w:val="0"/>
          <w:sz w:val="32"/>
          <w:szCs w:val="32"/>
        </w:rPr>
        <w:t>任期内年度经营业绩考核结果指标，权重</w:t>
      </w:r>
      <w:r>
        <w:rPr>
          <w:rFonts w:ascii="Times New Roman" w:hAnsi="Times New Roman" w:eastAsia="方正仿宋_GBK"/>
          <w:color w:val="auto"/>
          <w:spacing w:val="0"/>
          <w:sz w:val="32"/>
          <w:szCs w:val="32"/>
        </w:rPr>
        <w:t>10%</w:t>
      </w:r>
      <w:r>
        <w:rPr>
          <w:rFonts w:ascii="Times New Roman" w:eastAsia="方正仿宋_GBK"/>
          <w:color w:val="auto"/>
          <w:spacing w:val="0"/>
          <w:sz w:val="32"/>
          <w:szCs w:val="32"/>
        </w:rPr>
        <w:t>。企业负责人三年内的年度经营业绩综合考核结果的算术平均值。（计算方法详见附件</w:t>
      </w:r>
      <w:r>
        <w:rPr>
          <w:rFonts w:ascii="Times New Roman" w:hAnsi="Times New Roman" w:eastAsia="方正仿宋_GBK"/>
          <w:color w:val="auto"/>
          <w:spacing w:val="0"/>
          <w:sz w:val="32"/>
          <w:szCs w:val="32"/>
        </w:rPr>
        <w:t>3</w:t>
      </w:r>
      <w:r>
        <w:rPr>
          <w:rFonts w:ascii="Times New Roman" w:eastAsia="方正仿宋_GBK"/>
          <w:color w:val="auto"/>
          <w:spacing w:val="0"/>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jc w:val="center"/>
        <w:textAlignment w:val="auto"/>
        <w:outlineLvl w:val="9"/>
        <w:rPr>
          <w:rFonts w:ascii="Times New Roman" w:hAnsi="Times New Roman" w:eastAsia="方正黑体_GBK"/>
          <w:color w:val="auto"/>
          <w:spacing w:val="0"/>
          <w:sz w:val="32"/>
          <w:szCs w:val="32"/>
        </w:rPr>
      </w:pPr>
      <w:r>
        <w:rPr>
          <w:rFonts w:ascii="Times New Roman" w:eastAsia="方正黑体_GBK"/>
          <w:color w:val="auto"/>
          <w:spacing w:val="0"/>
          <w:sz w:val="32"/>
          <w:szCs w:val="32"/>
        </w:rPr>
        <w:t>第四章</w:t>
      </w:r>
      <w:r>
        <w:rPr>
          <w:rFonts w:hint="eastAsia" w:eastAsia="方正黑体_GBK"/>
          <w:color w:val="auto"/>
          <w:spacing w:val="0"/>
          <w:sz w:val="32"/>
          <w:szCs w:val="32"/>
          <w:lang w:val="en-US" w:eastAsia="zh-CN"/>
        </w:rPr>
        <w:t xml:space="preserve"> </w:t>
      </w:r>
      <w:r>
        <w:rPr>
          <w:rFonts w:ascii="Times New Roman" w:hAnsi="Times New Roman" w:eastAsia="方正黑体_GBK"/>
          <w:color w:val="auto"/>
          <w:spacing w:val="0"/>
          <w:sz w:val="32"/>
          <w:szCs w:val="32"/>
        </w:rPr>
        <w:t xml:space="preserve"> </w:t>
      </w:r>
      <w:r>
        <w:rPr>
          <w:rFonts w:ascii="Times New Roman" w:eastAsia="方正黑体_GBK"/>
          <w:color w:val="auto"/>
          <w:spacing w:val="0"/>
          <w:sz w:val="32"/>
          <w:szCs w:val="32"/>
        </w:rPr>
        <w:t>考核程序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color w:val="auto"/>
          <w:spacing w:val="0"/>
          <w:sz w:val="32"/>
          <w:szCs w:val="32"/>
        </w:rPr>
        <w:t>第八条</w:t>
      </w:r>
      <w:r>
        <w:rPr>
          <w:rFonts w:hint="eastAsia" w:ascii="方正楷体_GBK" w:eastAsia="方正楷体_GBK"/>
          <w:color w:val="auto"/>
          <w:spacing w:val="0"/>
          <w:sz w:val="32"/>
          <w:szCs w:val="32"/>
          <w:lang w:val="en-US" w:eastAsia="zh-CN"/>
        </w:rPr>
        <w:t xml:space="preserve"> </w:t>
      </w:r>
      <w:r>
        <w:rPr>
          <w:rFonts w:hint="eastAsia" w:ascii="Times New Roman" w:hAnsi="Times New Roman" w:eastAsia="方正仿宋_GBK"/>
          <w:bCs/>
          <w:color w:val="auto"/>
          <w:spacing w:val="0"/>
          <w:sz w:val="32"/>
          <w:szCs w:val="32"/>
        </w:rPr>
        <w:t xml:space="preserve"> </w:t>
      </w:r>
      <w:r>
        <w:rPr>
          <w:rFonts w:ascii="Times New Roman" w:eastAsia="方正仿宋_GBK"/>
          <w:bCs/>
          <w:color w:val="auto"/>
          <w:spacing w:val="0"/>
          <w:sz w:val="32"/>
          <w:szCs w:val="32"/>
        </w:rPr>
        <w:t>经营业绩考核以</w:t>
      </w:r>
      <w:r>
        <w:rPr>
          <w:rFonts w:ascii="Times New Roman" w:hAnsi="Times New Roman" w:eastAsia="方正仿宋_GBK"/>
          <w:bCs/>
          <w:color w:val="auto"/>
          <w:spacing w:val="0"/>
          <w:sz w:val="32"/>
          <w:szCs w:val="32"/>
        </w:rPr>
        <w:t>“</w:t>
      </w:r>
      <w:r>
        <w:rPr>
          <w:rFonts w:ascii="Times New Roman" w:eastAsia="方正仿宋_GBK"/>
          <w:bCs/>
          <w:color w:val="auto"/>
          <w:spacing w:val="0"/>
          <w:sz w:val="32"/>
          <w:szCs w:val="32"/>
        </w:rPr>
        <w:t>责任书</w:t>
      </w:r>
      <w:r>
        <w:rPr>
          <w:rFonts w:ascii="Times New Roman" w:hAnsi="Times New Roman" w:eastAsia="方正仿宋_GBK"/>
          <w:bCs/>
          <w:color w:val="auto"/>
          <w:spacing w:val="0"/>
          <w:sz w:val="32"/>
          <w:szCs w:val="32"/>
        </w:rPr>
        <w:t>”</w:t>
      </w:r>
      <w:r>
        <w:rPr>
          <w:rFonts w:ascii="Times New Roman" w:eastAsia="方正仿宋_GBK"/>
          <w:bCs/>
          <w:color w:val="auto"/>
          <w:spacing w:val="0"/>
          <w:sz w:val="32"/>
          <w:szCs w:val="32"/>
        </w:rPr>
        <w:t>为依据，</w:t>
      </w:r>
      <w:r>
        <w:rPr>
          <w:rFonts w:ascii="Times New Roman" w:eastAsia="方正仿宋_GBK"/>
          <w:color w:val="auto"/>
          <w:spacing w:val="0"/>
          <w:sz w:val="32"/>
          <w:szCs w:val="32"/>
        </w:rPr>
        <w:t>经营业绩责任书包括下列内容：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（一）</w:t>
      </w:r>
      <w:r>
        <w:rPr>
          <w:rFonts w:ascii="Times New Roman" w:eastAsia="方正仿宋_GBK"/>
          <w:color w:val="auto"/>
          <w:spacing w:val="0"/>
          <w:sz w:val="32"/>
          <w:szCs w:val="32"/>
        </w:rPr>
        <w:t>考核与被考核方的名称；</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（二）</w:t>
      </w:r>
      <w:r>
        <w:rPr>
          <w:rFonts w:ascii="Times New Roman" w:eastAsia="方正仿宋_GBK"/>
          <w:color w:val="auto"/>
          <w:spacing w:val="0"/>
          <w:sz w:val="32"/>
          <w:szCs w:val="32"/>
        </w:rPr>
        <w:t>考核的内容及指标；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（三）</w:t>
      </w:r>
      <w:r>
        <w:rPr>
          <w:rFonts w:ascii="Times New Roman" w:eastAsia="方正仿宋_GBK"/>
          <w:color w:val="auto"/>
          <w:spacing w:val="0"/>
          <w:sz w:val="32"/>
          <w:szCs w:val="32"/>
        </w:rPr>
        <w:t>考核与奖惩；</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（四）</w:t>
      </w:r>
      <w:r>
        <w:rPr>
          <w:rFonts w:ascii="Times New Roman" w:eastAsia="方正仿宋_GBK"/>
          <w:color w:val="auto"/>
          <w:spacing w:val="0"/>
          <w:sz w:val="32"/>
          <w:szCs w:val="32"/>
        </w:rPr>
        <w:t>双方的权利和责任；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（五）</w:t>
      </w:r>
      <w:r>
        <w:rPr>
          <w:rFonts w:ascii="Times New Roman" w:eastAsia="方正仿宋_GBK"/>
          <w:color w:val="auto"/>
          <w:spacing w:val="0"/>
          <w:sz w:val="32"/>
          <w:szCs w:val="32"/>
        </w:rPr>
        <w:t>责任书的变更、解除和终止；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bCs/>
          <w:color w:val="auto"/>
          <w:spacing w:val="0"/>
          <w:sz w:val="32"/>
          <w:szCs w:val="32"/>
        </w:rPr>
      </w:pPr>
      <w:r>
        <w:rPr>
          <w:rFonts w:ascii="Times New Roman" w:eastAsia="方正仿宋_GBK"/>
          <w:bCs/>
          <w:color w:val="auto"/>
          <w:spacing w:val="0"/>
          <w:sz w:val="32"/>
          <w:szCs w:val="32"/>
        </w:rPr>
        <w:t>（六）</w:t>
      </w:r>
      <w:r>
        <w:rPr>
          <w:rFonts w:ascii="Times New Roman" w:eastAsia="方正仿宋_GBK"/>
          <w:color w:val="auto"/>
          <w:spacing w:val="0"/>
          <w:sz w:val="32"/>
          <w:szCs w:val="32"/>
        </w:rPr>
        <w:t>其他需要约定的事项。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eastAsia="方正楷体_GBK"/>
          <w:bCs/>
          <w:color w:val="auto"/>
          <w:spacing w:val="0"/>
          <w:sz w:val="32"/>
          <w:szCs w:val="32"/>
        </w:rPr>
        <w:t>第九条</w:t>
      </w:r>
      <w:r>
        <w:rPr>
          <w:rFonts w:ascii="Times New Roman" w:hAnsi="Times New Roman" w:eastAsia="方正仿宋_GBK"/>
          <w:color w:val="auto"/>
          <w:spacing w:val="0"/>
          <w:sz w:val="32"/>
          <w:szCs w:val="32"/>
        </w:rPr>
        <w:t xml:space="preserve"> </w:t>
      </w:r>
      <w:r>
        <w:rPr>
          <w:rFonts w:hint="eastAsia" w:eastAsia="方正仿宋_GBK"/>
          <w:color w:val="auto"/>
          <w:spacing w:val="0"/>
          <w:sz w:val="32"/>
          <w:szCs w:val="32"/>
          <w:lang w:val="en-US" w:eastAsia="zh-CN"/>
        </w:rPr>
        <w:t xml:space="preserve"> </w:t>
      </w:r>
      <w:r>
        <w:rPr>
          <w:rFonts w:ascii="Times New Roman" w:eastAsia="方正仿宋_GBK"/>
          <w:color w:val="auto"/>
          <w:spacing w:val="0"/>
          <w:sz w:val="32"/>
          <w:szCs w:val="32"/>
        </w:rPr>
        <w:t>经营业绩责任书按下列程序签订：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（一）</w:t>
      </w:r>
      <w:r>
        <w:rPr>
          <w:rFonts w:ascii="Times New Roman" w:eastAsia="方正仿宋_GBK"/>
          <w:color w:val="auto"/>
          <w:spacing w:val="0"/>
          <w:sz w:val="32"/>
          <w:szCs w:val="32"/>
        </w:rPr>
        <w:t>年度、任期经营业绩考核目标建议值。考核期初，企业按照</w:t>
      </w:r>
      <w:r>
        <w:rPr>
          <w:rFonts w:hint="eastAsia" w:ascii="Times New Roman" w:eastAsia="方正仿宋_GBK"/>
          <w:color w:val="auto"/>
          <w:spacing w:val="0"/>
          <w:sz w:val="32"/>
          <w:szCs w:val="32"/>
        </w:rPr>
        <w:t>县国资委</w:t>
      </w:r>
      <w:r>
        <w:rPr>
          <w:rFonts w:ascii="Times New Roman" w:eastAsia="方正仿宋_GBK"/>
          <w:color w:val="auto"/>
          <w:spacing w:val="0"/>
          <w:sz w:val="32"/>
          <w:szCs w:val="32"/>
        </w:rPr>
        <w:t>年度、任期经营业绩考核要求和发展规划及经营状况，提出本年度及任期拟完成的经营业绩考核目标及建议值，并将考核目标及建议值和必要的说明材料</w:t>
      </w:r>
      <w:r>
        <w:rPr>
          <w:rFonts w:hint="eastAsia" w:ascii="Times New Roman" w:eastAsia="方正仿宋_GBK"/>
          <w:color w:val="auto"/>
          <w:spacing w:val="0"/>
          <w:sz w:val="32"/>
          <w:szCs w:val="32"/>
        </w:rPr>
        <w:t>上报</w:t>
      </w:r>
      <w:r>
        <w:rPr>
          <w:rFonts w:ascii="Times New Roman" w:eastAsia="方正仿宋_GBK"/>
          <w:color w:val="auto"/>
          <w:spacing w:val="0"/>
          <w:sz w:val="32"/>
          <w:szCs w:val="32"/>
        </w:rPr>
        <w:t>县国资委。考核目标建议值原则上不低于前三年相应指标实际完成值的平均值。任期考核目标建议值原则上不低于前一任期考核指标实际完成值。</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eastAsia="方正仿宋_GBK"/>
          <w:bCs/>
          <w:color w:val="auto"/>
          <w:spacing w:val="0"/>
          <w:sz w:val="32"/>
          <w:szCs w:val="32"/>
        </w:rPr>
        <w:t>（二）</w:t>
      </w:r>
      <w:r>
        <w:rPr>
          <w:rFonts w:ascii="Times New Roman" w:eastAsia="方正仿宋_GBK"/>
          <w:color w:val="auto"/>
          <w:spacing w:val="0"/>
          <w:sz w:val="32"/>
          <w:szCs w:val="32"/>
        </w:rPr>
        <w:t>核定年度、任期经营业绩考核目标值。县国资委根据县委、县政府的要求，结合宏观经济形势、企业运营环境及企业实际情况，对企业年度、任期经营业绩考核目标及建议值进行初核，并就考核目标值及有关内容同企业沟通后予以初定。</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（三）</w:t>
      </w:r>
      <w:r>
        <w:rPr>
          <w:rFonts w:ascii="Times New Roman" w:hAnsi="Times New Roman" w:eastAsia="方正仿宋_GBK"/>
          <w:color w:val="auto"/>
          <w:spacing w:val="0"/>
          <w:sz w:val="32"/>
          <w:szCs w:val="32"/>
        </w:rPr>
        <w:t>签订年度、任期经营业绩责任书。由县国资委综合考虑企业发展实际，结合年度国企总体发展目标确定年度经营业绩考核目标及任期经营业绩考核目标方案报县</w:t>
      </w:r>
      <w:r>
        <w:rPr>
          <w:rFonts w:hint="eastAsia" w:ascii="Times New Roman" w:hAnsi="Times New Roman" w:eastAsia="方正仿宋_GBK"/>
          <w:color w:val="auto"/>
          <w:spacing w:val="0"/>
          <w:sz w:val="32"/>
          <w:szCs w:val="32"/>
        </w:rPr>
        <w:t>人民</w:t>
      </w:r>
      <w:r>
        <w:rPr>
          <w:rFonts w:ascii="Times New Roman" w:hAnsi="Times New Roman" w:eastAsia="方正仿宋_GBK"/>
          <w:color w:val="auto"/>
          <w:spacing w:val="0"/>
          <w:sz w:val="32"/>
          <w:szCs w:val="32"/>
        </w:rPr>
        <w:t>政府备案。由县</w:t>
      </w:r>
      <w:r>
        <w:rPr>
          <w:rFonts w:hint="eastAsia" w:ascii="Times New Roman" w:hAnsi="Times New Roman" w:eastAsia="方正仿宋_GBK"/>
          <w:color w:val="auto"/>
          <w:spacing w:val="0"/>
          <w:sz w:val="32"/>
          <w:szCs w:val="32"/>
        </w:rPr>
        <w:t>人民</w:t>
      </w:r>
      <w:r>
        <w:rPr>
          <w:rFonts w:ascii="Times New Roman" w:hAnsi="Times New Roman" w:eastAsia="方正仿宋_GBK"/>
          <w:color w:val="auto"/>
          <w:spacing w:val="0"/>
          <w:sz w:val="32"/>
          <w:szCs w:val="32"/>
        </w:rPr>
        <w:t>政府领导与企业董事长（或法定代表人）签订年度、任期经营业绩责任书。</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县国资委对经营业绩责任书的执行情况实施动态监控。</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（一）</w:t>
      </w:r>
      <w:r>
        <w:rPr>
          <w:rFonts w:ascii="Times New Roman" w:hAnsi="Times New Roman" w:eastAsia="方正仿宋_GBK"/>
          <w:color w:val="auto"/>
          <w:spacing w:val="0"/>
          <w:sz w:val="32"/>
          <w:szCs w:val="32"/>
        </w:rPr>
        <w:t>年度经营业绩责任书签订后，企业每年7月将经营业绩责任书执行情况向县国资委报告。县国资委根据企业财务运行情况对责任书的执行情况进行动态跟踪，对经营业绩责任书执行情况明显滞后的企业提出预警并进行督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（二）</w:t>
      </w:r>
      <w:r>
        <w:rPr>
          <w:rFonts w:ascii="Times New Roman" w:hAnsi="Times New Roman" w:eastAsia="方正仿宋_GBK"/>
          <w:color w:val="auto"/>
          <w:spacing w:val="0"/>
          <w:sz w:val="32"/>
          <w:szCs w:val="32"/>
        </w:rPr>
        <w:t>企业出现重大的安全生产事故和质量事故、重大经济损失、重大投融资、重大涉诉、重大资产处置、重大担保事项和资产重组等重要情况，对经营业绩考核产生较大影响的，企业负责人应当及时以书面形式报告县国资委。</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第十一条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6"/>
          <w:sz w:val="32"/>
          <w:szCs w:val="32"/>
        </w:rPr>
        <w:t>年度经营业绩的完成情况按照下列程序进行考核：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（一）</w:t>
      </w:r>
      <w:r>
        <w:rPr>
          <w:rFonts w:ascii="Times New Roman" w:hAnsi="Times New Roman" w:eastAsia="方正仿宋_GBK"/>
          <w:color w:val="auto"/>
          <w:spacing w:val="0"/>
          <w:sz w:val="32"/>
          <w:szCs w:val="32"/>
        </w:rPr>
        <w:t>考核期末，企业按照县国资委的年度考核工作要求，依据经审计的企业财务决算报表，对考核当期经营业绩考核目标的完成情况进行总结分析，并将年度总结分析报告报县国资委。总结分析报告的主要内容：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1</w:t>
      </w:r>
      <w:r>
        <w:rPr>
          <w:rFonts w:hint="eastAsia" w:ascii="Times New Roman" w:hAnsi="Times New Roman" w:eastAsia="方正仿宋_GBK"/>
          <w:bCs/>
          <w:color w:val="auto"/>
          <w:spacing w:val="0"/>
          <w:sz w:val="32"/>
          <w:szCs w:val="32"/>
        </w:rPr>
        <w:t>．</w:t>
      </w:r>
      <w:r>
        <w:rPr>
          <w:rFonts w:ascii="Times New Roman" w:hAnsi="Times New Roman" w:eastAsia="方正仿宋_GBK"/>
          <w:color w:val="auto"/>
          <w:spacing w:val="0"/>
          <w:sz w:val="32"/>
          <w:szCs w:val="32"/>
        </w:rPr>
        <w:t>企业资产及经营管理情况；</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2</w:t>
      </w:r>
      <w:r>
        <w:rPr>
          <w:rFonts w:hint="eastAsia" w:ascii="Times New Roman" w:hAnsi="Times New Roman" w:eastAsia="方正仿宋_GBK"/>
          <w:bCs/>
          <w:color w:val="auto"/>
          <w:spacing w:val="0"/>
          <w:sz w:val="32"/>
          <w:szCs w:val="32"/>
        </w:rPr>
        <w:t>．</w:t>
      </w:r>
      <w:r>
        <w:rPr>
          <w:rFonts w:ascii="Times New Roman" w:hAnsi="Times New Roman" w:eastAsia="方正仿宋_GBK"/>
          <w:color w:val="auto"/>
          <w:spacing w:val="0"/>
          <w:sz w:val="32"/>
          <w:szCs w:val="32"/>
        </w:rPr>
        <w:t>考核目标完成情况及说明；</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3</w:t>
      </w:r>
      <w:r>
        <w:rPr>
          <w:rFonts w:hint="eastAsia" w:ascii="Times New Roman" w:hAnsi="Times New Roman" w:eastAsia="方正仿宋_GBK"/>
          <w:bCs/>
          <w:color w:val="auto"/>
          <w:spacing w:val="0"/>
          <w:sz w:val="32"/>
          <w:szCs w:val="32"/>
        </w:rPr>
        <w:t>．</w:t>
      </w:r>
      <w:r>
        <w:rPr>
          <w:rFonts w:ascii="Times New Roman" w:hAnsi="Times New Roman" w:eastAsia="方正仿宋_GBK"/>
          <w:color w:val="auto"/>
          <w:spacing w:val="0"/>
          <w:sz w:val="32"/>
          <w:szCs w:val="32"/>
        </w:rPr>
        <w:t>年度发生的重大事项；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4</w:t>
      </w:r>
      <w:r>
        <w:rPr>
          <w:rFonts w:hint="eastAsia" w:ascii="Times New Roman" w:hAnsi="Times New Roman" w:eastAsia="方正仿宋_GBK"/>
          <w:bCs/>
          <w:color w:val="auto"/>
          <w:spacing w:val="0"/>
          <w:sz w:val="32"/>
          <w:szCs w:val="32"/>
        </w:rPr>
        <w:t>．</w:t>
      </w:r>
      <w:r>
        <w:rPr>
          <w:rFonts w:ascii="Times New Roman" w:hAnsi="Times New Roman" w:eastAsia="方正仿宋_GBK"/>
          <w:color w:val="auto"/>
          <w:spacing w:val="0"/>
          <w:sz w:val="32"/>
          <w:szCs w:val="32"/>
        </w:rPr>
        <w:t>存在的主要问题、原因、建议。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（二）</w:t>
      </w:r>
      <w:r>
        <w:rPr>
          <w:rFonts w:ascii="Times New Roman" w:hAnsi="Times New Roman" w:eastAsia="方正仿宋_GBK"/>
          <w:color w:val="auto"/>
          <w:spacing w:val="0"/>
          <w:sz w:val="32"/>
          <w:szCs w:val="32"/>
        </w:rPr>
        <w:t>由县国资委组成考核组</w:t>
      </w:r>
      <w:r>
        <w:rPr>
          <w:rFonts w:hint="eastAsia" w:ascii="Times New Roman" w:hAnsi="Times New Roman" w:eastAsia="方正仿宋_GBK"/>
          <w:color w:val="auto"/>
          <w:spacing w:val="0"/>
          <w:sz w:val="32"/>
          <w:szCs w:val="32"/>
        </w:rPr>
        <w:t>，</w:t>
      </w:r>
      <w:r>
        <w:rPr>
          <w:rFonts w:ascii="Times New Roman" w:hAnsi="Times New Roman" w:eastAsia="方正仿宋_GBK"/>
          <w:color w:val="auto"/>
          <w:spacing w:val="0"/>
          <w:sz w:val="32"/>
          <w:szCs w:val="32"/>
        </w:rPr>
        <w:t>依据县国资委派的中介机构经审计认定的企业财务决算报告和经审查的统计数据，结合企业年度总结分析报告，在听取监事会对企业的年度评价意见基础上，对企业年度经营业绩考核目标的完成情况进行综合考核，形成企业年度经营业绩考核意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（三）</w:t>
      </w:r>
      <w:r>
        <w:rPr>
          <w:rFonts w:ascii="Times New Roman" w:hAnsi="Times New Roman" w:eastAsia="方正仿宋_GBK"/>
          <w:color w:val="auto"/>
          <w:spacing w:val="0"/>
          <w:sz w:val="32"/>
          <w:szCs w:val="32"/>
        </w:rPr>
        <w:t>县国资委将企业年度经营业绩考核意见反馈企业，企业对考核意见有异议的，可向</w:t>
      </w:r>
      <w:r>
        <w:rPr>
          <w:rFonts w:hint="eastAsia" w:ascii="Times New Roman" w:hAnsi="Times New Roman" w:eastAsia="方正仿宋_GBK"/>
          <w:color w:val="auto"/>
          <w:spacing w:val="0"/>
          <w:sz w:val="32"/>
          <w:szCs w:val="32"/>
        </w:rPr>
        <w:t>县国资委</w:t>
      </w:r>
      <w:r>
        <w:rPr>
          <w:rFonts w:ascii="Times New Roman" w:hAnsi="Times New Roman" w:eastAsia="方正仿宋_GBK"/>
          <w:color w:val="auto"/>
          <w:spacing w:val="0"/>
          <w:sz w:val="32"/>
          <w:szCs w:val="32"/>
        </w:rPr>
        <w:t>反映。</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（四）</w:t>
      </w:r>
      <w:r>
        <w:rPr>
          <w:rFonts w:ascii="Times New Roman" w:hAnsi="Times New Roman" w:eastAsia="方正仿宋_GBK"/>
          <w:color w:val="auto"/>
          <w:spacing w:val="0"/>
          <w:sz w:val="32"/>
          <w:szCs w:val="32"/>
        </w:rPr>
        <w:t>县国资委向被考核企业下达企业年度经营业绩考核结</w:t>
      </w:r>
      <w:r>
        <w:rPr>
          <w:rFonts w:ascii="Times New Roman" w:hAnsi="Times New Roman" w:eastAsia="方正仿宋_GBK"/>
          <w:color w:val="auto"/>
          <w:spacing w:val="-6"/>
          <w:sz w:val="32"/>
          <w:szCs w:val="32"/>
        </w:rPr>
        <w:t>果。考核结果向县深化国有企业负责人薪酬制度改革领导小组报告。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color w:val="auto"/>
          <w:spacing w:val="0"/>
          <w:sz w:val="32"/>
          <w:szCs w:val="32"/>
        </w:rPr>
        <w:t>第十二条</w:t>
      </w:r>
      <w:r>
        <w:rPr>
          <w:rFonts w:hint="eastAsia" w:ascii="Times New Roman" w:hAnsi="Times New Roman" w:eastAsia="方正仿宋_GBK"/>
          <w:color w:val="auto"/>
          <w:spacing w:val="0"/>
          <w:sz w:val="32"/>
          <w:szCs w:val="32"/>
        </w:rPr>
        <w:t xml:space="preserve"> </w:t>
      </w:r>
      <w:r>
        <w:rPr>
          <w:rFonts w:hint="eastAsia" w:eastAsia="方正仿宋_GBK"/>
          <w:color w:val="auto"/>
          <w:spacing w:val="0"/>
          <w:sz w:val="32"/>
          <w:szCs w:val="32"/>
          <w:lang w:val="en-US" w:eastAsia="zh-CN"/>
        </w:rPr>
        <w:t xml:space="preserve"> </w:t>
      </w:r>
      <w:r>
        <w:rPr>
          <w:rFonts w:ascii="Times New Roman" w:hAnsi="Times New Roman" w:eastAsia="方正仿宋_GBK"/>
          <w:color w:val="auto"/>
          <w:spacing w:val="0"/>
          <w:sz w:val="32"/>
          <w:szCs w:val="32"/>
        </w:rPr>
        <w:t>任期经营业绩责任书完成情况按照下列程序进行考核：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（一）考核期末，企业对任期经营业绩考核目标的完成情况进行总结分析，并将总结分析报告报县国资委。</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二）县国资委依据任期内经县国资委确定的中介机构审计的企业财务决算报告和经审查的统计数据，结合企业任期经营业绩总结分析报告，并听取监事会对企业的任期评价意见，对任期经营业绩考核目标的完成情况进行综合考核（具体办法详见附件2），形成企业任期经营业绩考核意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（三）县国资委将企业任期经营业绩考核意见反馈企业，被考核企业对考核意见有异议的，可及时向县国资委反映。</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（四）县国资委向被考核企业下达企业经营业绩考核结果抄送县委组织部并报县委县政府备案。</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第十三条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企业在年度经营业绩责任书执行期间，企业因发生重大事件，影响责任书正常执行，需变更、解除或终止责任书的，由企业提出申请，报县国资委决定。</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考核期内，企业出现下列情形之一时，县国资委可适当调整或重新审定其目标值：</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（一）</w:t>
      </w:r>
      <w:r>
        <w:rPr>
          <w:rFonts w:ascii="Times New Roman" w:hAnsi="Times New Roman" w:eastAsia="方正仿宋_GBK"/>
          <w:color w:val="auto"/>
          <w:spacing w:val="0"/>
          <w:sz w:val="32"/>
          <w:szCs w:val="32"/>
        </w:rPr>
        <w:t>所在行业相关产业政策、税收政策发生重大变化；</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（二）</w:t>
      </w:r>
      <w:r>
        <w:rPr>
          <w:rFonts w:ascii="Times New Roman" w:hAnsi="Times New Roman" w:eastAsia="方正仿宋_GBK"/>
          <w:color w:val="auto"/>
          <w:spacing w:val="0"/>
          <w:sz w:val="32"/>
          <w:szCs w:val="32"/>
        </w:rPr>
        <w:t>企业新并购子企业、或有子企业实施破产或改制，致使报表合并范围发生重大变化；</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bCs/>
          <w:color w:val="auto"/>
          <w:spacing w:val="0"/>
          <w:sz w:val="32"/>
          <w:szCs w:val="32"/>
        </w:rPr>
        <w:t>（三）</w:t>
      </w:r>
      <w:r>
        <w:rPr>
          <w:rFonts w:ascii="Times New Roman" w:hAnsi="Times New Roman" w:eastAsia="方正仿宋_GBK"/>
          <w:color w:val="auto"/>
          <w:spacing w:val="0"/>
          <w:sz w:val="32"/>
          <w:szCs w:val="32"/>
        </w:rPr>
        <w:t>企业当年净资产因客观因素发生重大变化，如政府直接追加投资，土地、固定资产生重新评估，公司资本变动，核销不良资产等，导致净资产收益率指标受到较大影响。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jc w:val="center"/>
        <w:textAlignment w:val="auto"/>
        <w:outlineLvl w:val="9"/>
        <w:rPr>
          <w:rFonts w:ascii="Times New Roman" w:hAnsi="Times New Roman" w:eastAsia="方正黑体_GBK"/>
          <w:color w:val="auto"/>
          <w:spacing w:val="0"/>
          <w:sz w:val="32"/>
          <w:szCs w:val="32"/>
        </w:rPr>
      </w:pPr>
      <w:r>
        <w:rPr>
          <w:rFonts w:ascii="Times New Roman" w:hAnsi="Times New Roman" w:eastAsia="方正黑体_GBK"/>
          <w:color w:val="auto"/>
          <w:spacing w:val="0"/>
          <w:sz w:val="32"/>
          <w:szCs w:val="32"/>
        </w:rPr>
        <w:t>第五章</w:t>
      </w:r>
      <w:r>
        <w:rPr>
          <w:rFonts w:hint="eastAsia" w:eastAsia="方正黑体_GBK"/>
          <w:color w:val="auto"/>
          <w:spacing w:val="0"/>
          <w:sz w:val="32"/>
          <w:szCs w:val="32"/>
          <w:lang w:val="en-US" w:eastAsia="zh-CN"/>
        </w:rPr>
        <w:t xml:space="preserve"> </w:t>
      </w:r>
      <w:r>
        <w:rPr>
          <w:rFonts w:ascii="Times New Roman" w:hAnsi="Times New Roman" w:eastAsia="方正黑体_GBK"/>
          <w:color w:val="auto"/>
          <w:spacing w:val="0"/>
          <w:sz w:val="32"/>
          <w:szCs w:val="32"/>
        </w:rPr>
        <w:t xml:space="preserve"> 考核结果运用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第十四条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根据企业经营业绩考核得分的高低，年度经营业绩任期经营业绩考核的最终结果依次分为A、B、C、D、E五个级别。县国资委依据年度经营业绩考核测算确定考核对象的绩效薪酬标准，并实施奖惩，具体按照</w:t>
      </w:r>
      <w:r>
        <w:rPr>
          <w:rFonts w:hint="eastAsia" w:ascii="Times New Roman" w:hAnsi="Times New Roman" w:eastAsia="方正仿宋_GBK"/>
          <w:color w:val="auto"/>
          <w:spacing w:val="0"/>
          <w:sz w:val="32"/>
          <w:szCs w:val="32"/>
        </w:rPr>
        <w:t>《陇川县县管</w:t>
      </w:r>
      <w:r>
        <w:rPr>
          <w:rFonts w:ascii="Times New Roman" w:hAnsi="Times New Roman" w:eastAsia="方正仿宋_GBK"/>
          <w:color w:val="auto"/>
          <w:spacing w:val="0"/>
          <w:sz w:val="32"/>
          <w:szCs w:val="32"/>
        </w:rPr>
        <w:t>企业负责人薪酬管理办法（试行）</w:t>
      </w:r>
      <w:r>
        <w:rPr>
          <w:rFonts w:hint="eastAsia" w:ascii="Times New Roman" w:hAnsi="Times New Roman" w:eastAsia="方正仿宋_GBK"/>
          <w:color w:val="auto"/>
          <w:spacing w:val="0"/>
          <w:sz w:val="32"/>
          <w:szCs w:val="32"/>
        </w:rPr>
        <w:t>》</w:t>
      </w:r>
      <w:r>
        <w:rPr>
          <w:rFonts w:ascii="Times New Roman" w:hAnsi="Times New Roman" w:eastAsia="方正仿宋_GBK"/>
          <w:color w:val="auto"/>
          <w:spacing w:val="0"/>
          <w:sz w:val="32"/>
          <w:szCs w:val="32"/>
        </w:rPr>
        <w:t>执行。</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第十五条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县</w:t>
      </w:r>
      <w:r>
        <w:rPr>
          <w:rFonts w:hint="eastAsia" w:ascii="Times New Roman" w:hAnsi="Times New Roman" w:eastAsia="方正仿宋_GBK"/>
          <w:color w:val="auto"/>
          <w:spacing w:val="0"/>
          <w:sz w:val="32"/>
          <w:szCs w:val="32"/>
          <w:lang w:val="en-US" w:eastAsia="zh-CN"/>
        </w:rPr>
        <w:t>管</w:t>
      </w:r>
      <w:r>
        <w:rPr>
          <w:rFonts w:ascii="Times New Roman" w:hAnsi="Times New Roman" w:eastAsia="方正仿宋_GBK"/>
          <w:color w:val="auto"/>
          <w:spacing w:val="0"/>
          <w:sz w:val="32"/>
          <w:szCs w:val="32"/>
        </w:rPr>
        <w:t>企业发生如下情形，视其对企业生产经营秩序危害或影响程序及给企业造成的经济损失等，扣减企业管理者年度考核得分或直接降低考核级别。</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（一）企业法定代表人或相关管理违反国家法律法规和规章、</w:t>
      </w:r>
      <w:r>
        <w:rPr>
          <w:rFonts w:ascii="Times New Roman" w:hAnsi="Times New Roman" w:eastAsia="方正仿宋_GBK"/>
          <w:color w:val="auto"/>
          <w:spacing w:val="4"/>
          <w:sz w:val="32"/>
          <w:szCs w:val="32"/>
        </w:rPr>
        <w:t>企业章程和管理规定，导致重大决策失误，造成国有资产重大损失。</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（二）发生生产安全或环境污染与破坏的重大、特大事故及质量责任事故。</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（三）发生综治维稳考核一票否决事项。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（四）企业管理者发生重大违纪违法案件。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（五）未按照出资人要求按时足额上缴国有资本收益。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（六）县国资委认定的其他情形。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第十六条</w:t>
      </w:r>
      <w:r>
        <w:rPr>
          <w:rFonts w:hint="eastAsia"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企业管理者虚报、瞒报财务状况的，除由有关部门依照《中华人民共和国会计法》《企业财务会计报告条例》等有关法律法规处理外，扣减年度考核得分或直接降低考核级别。</w:t>
      </w:r>
    </w:p>
    <w:p>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jc w:val="center"/>
        <w:textAlignment w:val="auto"/>
        <w:outlineLvl w:val="9"/>
        <w:rPr>
          <w:rFonts w:ascii="Times New Roman" w:hAnsi="Times New Roman" w:eastAsia="方正仿宋_GBK"/>
          <w:b/>
          <w:bCs/>
          <w:color w:val="auto"/>
          <w:spacing w:val="0"/>
          <w:sz w:val="32"/>
          <w:szCs w:val="32"/>
        </w:rPr>
      </w:pPr>
      <w:r>
        <w:rPr>
          <w:rFonts w:ascii="Times New Roman" w:hAnsi="Times New Roman" w:eastAsia="方正黑体_GBK"/>
          <w:color w:val="auto"/>
          <w:spacing w:val="0"/>
          <w:sz w:val="32"/>
          <w:szCs w:val="32"/>
        </w:rPr>
        <w:t xml:space="preserve">第六章 </w:t>
      </w:r>
      <w:r>
        <w:rPr>
          <w:rFonts w:hint="eastAsia" w:eastAsia="方正黑体_GBK"/>
          <w:color w:val="auto"/>
          <w:spacing w:val="0"/>
          <w:sz w:val="32"/>
          <w:szCs w:val="32"/>
          <w:lang w:val="en-US" w:eastAsia="zh-CN"/>
        </w:rPr>
        <w:t xml:space="preserve"> </w:t>
      </w:r>
      <w:r>
        <w:rPr>
          <w:rFonts w:ascii="Times New Roman" w:hAnsi="Times New Roman" w:eastAsia="方正黑体_GBK"/>
          <w:color w:val="auto"/>
          <w:spacing w:val="0"/>
          <w:sz w:val="32"/>
          <w:szCs w:val="32"/>
        </w:rPr>
        <w:t>附则</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第十七条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由于清产核资、企业负责人工作调动等原因导致考核经营业绩目标发生变化的，县国资委可根据具体情况调整年度经营业绩责任书的相关内容。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第十八条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本办法实施后，若遇国家法律法规和政策规定发生变化，县国资委将根据变化情况对企业经营业绩考核对象和指标等进行适时调整。</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第十九条</w:t>
      </w:r>
      <w:r>
        <w:rPr>
          <w:rFonts w:ascii="Times New Roman" w:hAnsi="Times New Roman" w:eastAsia="方正仿宋_GBK"/>
          <w:b/>
          <w:bCs/>
          <w:color w:val="auto"/>
          <w:spacing w:val="0"/>
          <w:sz w:val="32"/>
          <w:szCs w:val="32"/>
        </w:rPr>
        <w:t xml:space="preserve"> </w:t>
      </w:r>
      <w:r>
        <w:rPr>
          <w:rFonts w:hint="eastAsia" w:eastAsia="方正仿宋_GBK"/>
          <w:b/>
          <w:bCs/>
          <w:color w:val="auto"/>
          <w:spacing w:val="0"/>
          <w:sz w:val="32"/>
          <w:szCs w:val="32"/>
          <w:lang w:val="en-US" w:eastAsia="zh-CN"/>
        </w:rPr>
        <w:t xml:space="preserve"> </w:t>
      </w:r>
      <w:r>
        <w:rPr>
          <w:rFonts w:ascii="Times New Roman" w:hAnsi="Times New Roman" w:eastAsia="方正仿宋_GBK"/>
          <w:color w:val="auto"/>
          <w:spacing w:val="0"/>
          <w:sz w:val="32"/>
          <w:szCs w:val="32"/>
        </w:rPr>
        <w:t>县</w:t>
      </w:r>
      <w:r>
        <w:rPr>
          <w:rFonts w:hint="eastAsia" w:ascii="Times New Roman" w:hAnsi="Times New Roman" w:eastAsia="方正仿宋_GBK"/>
          <w:color w:val="auto"/>
          <w:spacing w:val="0"/>
          <w:sz w:val="32"/>
          <w:szCs w:val="32"/>
          <w:lang w:val="en-US" w:eastAsia="zh-CN"/>
        </w:rPr>
        <w:t>管</w:t>
      </w:r>
      <w:r>
        <w:rPr>
          <w:rFonts w:ascii="Times New Roman" w:hAnsi="Times New Roman" w:eastAsia="方正仿宋_GBK"/>
          <w:color w:val="auto"/>
          <w:spacing w:val="0"/>
          <w:sz w:val="32"/>
          <w:szCs w:val="32"/>
        </w:rPr>
        <w:t>企业应建立健全企业内部经营业绩考核体系，在公司内部落实全员经营责任。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ascii="Times New Roman" w:hAnsi="Times New Roman" w:eastAsia="方正仿宋_GBK"/>
          <w:color w:val="auto"/>
          <w:spacing w:val="0"/>
          <w:sz w:val="32"/>
          <w:szCs w:val="32"/>
        </w:rPr>
      </w:pPr>
      <w:r>
        <w:rPr>
          <w:rFonts w:hint="eastAsia" w:ascii="方正楷体_GBK" w:hAnsi="Times New Roman" w:eastAsia="方正楷体_GBK"/>
          <w:bCs/>
          <w:color w:val="auto"/>
          <w:spacing w:val="0"/>
          <w:sz w:val="32"/>
          <w:szCs w:val="32"/>
        </w:rPr>
        <w:t>第二十条</w:t>
      </w:r>
      <w:r>
        <w:rPr>
          <w:rFonts w:hint="eastAsia" w:ascii="方正楷体_GBK" w:hAnsi="Times New Roman" w:eastAsia="方正楷体_GBK"/>
          <w:bCs/>
          <w:color w:val="auto"/>
          <w:spacing w:val="0"/>
          <w:sz w:val="32"/>
          <w:szCs w:val="32"/>
          <w:lang w:val="en-US" w:eastAsia="zh-CN"/>
        </w:rPr>
        <w:t xml:space="preserve">  </w:t>
      </w:r>
      <w:r>
        <w:rPr>
          <w:rFonts w:eastAsia="方正仿宋_GBK"/>
          <w:color w:val="auto"/>
          <w:spacing w:val="0"/>
          <w:sz w:val="32"/>
          <w:szCs w:val="32"/>
        </w:rPr>
        <w:t>本办法自印发之日起施行</w:t>
      </w:r>
      <w:r>
        <w:rPr>
          <w:rFonts w:hint="eastAsia" w:eastAsia="方正仿宋_GBK"/>
          <w:color w:val="auto"/>
          <w:spacing w:val="0"/>
          <w:sz w:val="32"/>
          <w:szCs w:val="32"/>
          <w:lang w:eastAsia="zh-CN"/>
        </w:rPr>
        <w:t>。</w:t>
      </w:r>
    </w:p>
    <w:p>
      <w:pPr>
        <w:spacing w:line="600" w:lineRule="exact"/>
        <w:rPr>
          <w:rFonts w:ascii="Times New Roman" w:hAnsi="Times New Roman" w:eastAsia="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olor w:val="auto"/>
          <w:sz w:val="32"/>
          <w:szCs w:val="32"/>
          <w:lang w:eastAsia="zh-CN"/>
        </w:rPr>
      </w:pPr>
      <w:r>
        <w:rPr>
          <w:rFonts w:hint="eastAsia" w:eastAsia="方正仿宋_GBK"/>
          <w:color w:val="auto"/>
          <w:sz w:val="32"/>
          <w:szCs w:val="32"/>
          <w:lang w:eastAsia="zh-CN"/>
        </w:rPr>
        <w:t>附件：</w:t>
      </w:r>
      <w:r>
        <w:rPr>
          <w:rFonts w:hint="eastAsia" w:eastAsia="方正仿宋_GBK"/>
          <w:color w:val="auto"/>
          <w:sz w:val="32"/>
          <w:szCs w:val="32"/>
          <w:lang w:val="en-US" w:eastAsia="zh-CN"/>
        </w:rPr>
        <w:t>1.年度经营业绩分类考核指标及解释</w:t>
      </w:r>
    </w:p>
    <w:p>
      <w:pPr>
        <w:spacing w:line="600" w:lineRule="exact"/>
        <w:ind w:firstLine="1600" w:firstLineChars="500"/>
        <w:rPr>
          <w:rFonts w:hint="eastAsia" w:ascii="Times New Roman" w:hAnsi="Times New Roman" w:eastAsia="方正仿宋_GBK"/>
          <w:color w:val="auto"/>
          <w:sz w:val="32"/>
          <w:szCs w:val="32"/>
          <w:lang w:val="en-US" w:eastAsia="zh-CN"/>
        </w:rPr>
      </w:pPr>
      <w:r>
        <w:rPr>
          <w:rFonts w:hint="eastAsia" w:eastAsia="方正仿宋_GBK"/>
          <w:color w:val="auto"/>
          <w:sz w:val="32"/>
          <w:szCs w:val="32"/>
          <w:lang w:val="en-US" w:eastAsia="zh-CN"/>
        </w:rPr>
        <w:t>2.年度经营业绩考核指标计分办法</w:t>
      </w:r>
    </w:p>
    <w:p>
      <w:pPr>
        <w:spacing w:line="600" w:lineRule="exact"/>
        <w:ind w:firstLine="1600" w:firstLineChars="500"/>
        <w:rPr>
          <w:rFonts w:ascii="Times New Roman" w:hAnsi="Times New Roman" w:eastAsia="方正仿宋_GBK"/>
          <w:color w:val="auto"/>
          <w:sz w:val="32"/>
          <w:szCs w:val="32"/>
        </w:rPr>
      </w:pPr>
      <w:r>
        <w:rPr>
          <w:rFonts w:hint="eastAsia" w:eastAsia="方正仿宋_GBK"/>
          <w:color w:val="auto"/>
          <w:sz w:val="32"/>
          <w:szCs w:val="32"/>
          <w:lang w:val="en-US" w:eastAsia="zh-CN"/>
        </w:rPr>
        <w:t>3.</w:t>
      </w:r>
      <w:r>
        <w:rPr>
          <w:rFonts w:hint="eastAsia" w:ascii="Times New Roman" w:hAnsi="Times New Roman" w:eastAsia="方正仿宋_GBK"/>
          <w:color w:val="auto"/>
          <w:sz w:val="32"/>
          <w:szCs w:val="32"/>
        </w:rPr>
        <w:t>任期经营业绩考核指标计分办法</w:t>
      </w:r>
    </w:p>
    <w:p>
      <w:pPr>
        <w:spacing w:line="600" w:lineRule="exact"/>
        <w:rPr>
          <w:rFonts w:ascii="Times New Roman" w:hAnsi="Times New Roman" w:eastAsia="方正仿宋_GBK"/>
          <w:color w:val="auto"/>
          <w:sz w:val="32"/>
          <w:szCs w:val="32"/>
        </w:rPr>
      </w:pPr>
    </w:p>
    <w:p>
      <w:pPr>
        <w:widowControl/>
        <w:jc w:val="left"/>
        <w:rPr>
          <w:rFonts w:hint="default" w:ascii="Times New Roman" w:hAnsi="Times New Roman" w:eastAsia="方正黑体_GBK" w:cs="Times New Roman"/>
          <w:bCs/>
          <w:color w:val="auto"/>
          <w:sz w:val="32"/>
          <w:szCs w:val="32"/>
        </w:rPr>
      </w:pPr>
    </w:p>
    <w:p>
      <w:pPr>
        <w:widowControl/>
        <w:jc w:val="left"/>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附件1</w:t>
      </w:r>
    </w:p>
    <w:p>
      <w:pPr>
        <w:pStyle w:val="2"/>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rightChars="0" w:firstLine="0" w:firstLineChars="0"/>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ascii="方正小标宋_GBK" w:hAnsi="Times New Roman" w:eastAsia="方正小标宋_GBK"/>
          <w:bCs/>
          <w:color w:val="auto"/>
          <w:sz w:val="44"/>
          <w:szCs w:val="44"/>
        </w:rPr>
      </w:pPr>
      <w:bookmarkStart w:id="1" w:name="OLE_LINK3"/>
      <w:r>
        <w:rPr>
          <w:rFonts w:hint="eastAsia" w:ascii="方正小标宋_GBK" w:hAnsi="Times New Roman" w:eastAsia="方正小标宋_GBK"/>
          <w:bCs/>
          <w:color w:val="auto"/>
          <w:sz w:val="44"/>
          <w:szCs w:val="44"/>
        </w:rPr>
        <w:t>年度经营业绩分类考核指标及解释</w:t>
      </w:r>
    </w:p>
    <w:bookmarkEnd w:id="1"/>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rPr>
          <w:rFonts w:ascii="Times New Roman" w:hAnsi="Times New Roman" w:eastAsia="方正仿宋_GBK"/>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0"/>
        <w:rPr>
          <w:rFonts w:ascii="方正黑体_GBK" w:hAnsi="Times New Roman" w:eastAsia="方正黑体_GBK"/>
          <w:bCs/>
          <w:color w:val="auto"/>
          <w:sz w:val="32"/>
          <w:szCs w:val="32"/>
        </w:rPr>
      </w:pPr>
      <w:r>
        <w:rPr>
          <w:rFonts w:hint="eastAsia" w:ascii="方正黑体_GBK" w:hAnsi="Times New Roman" w:eastAsia="方正黑体_GBK"/>
          <w:bCs/>
          <w:color w:val="auto"/>
          <w:sz w:val="32"/>
          <w:szCs w:val="32"/>
        </w:rPr>
        <w:t>一、分类指标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（一）盈利能力指标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净资产收益率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总资产报酬率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3</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成本费用利润率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（二）资产质量指标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4</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流动资产负债率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5</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总资产周转率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6</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应收账款周转率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（三）债务风险指标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7</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资产负债率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8</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流动比率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9</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现金流量负债比率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（四）经营增长指标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10</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营业总收入增长率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11</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利润增长率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12</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资本积累率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（五）其他指标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13</w:t>
      </w:r>
      <w:r>
        <w:rPr>
          <w:rFonts w:hint="eastAsia" w:ascii="Times New Roman" w:hAnsi="Times New Roman" w:eastAsia="方正仿宋_GBK"/>
          <w:bCs/>
          <w:color w:val="auto"/>
          <w:sz w:val="32"/>
          <w:szCs w:val="32"/>
        </w:rPr>
        <w:t>．</w:t>
      </w:r>
      <w:r>
        <w:rPr>
          <w:rFonts w:ascii="Times New Roman" w:hAnsi="Times New Roman" w:eastAsia="方正仿宋_GBK"/>
          <w:color w:val="auto"/>
          <w:sz w:val="32"/>
          <w:szCs w:val="32"/>
        </w:rPr>
        <w:t>上缴税费总额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黑体_GBK" w:hAnsi="Times New Roman" w:eastAsia="方正黑体_GBK"/>
          <w:bCs/>
          <w:color w:val="auto"/>
          <w:sz w:val="32"/>
          <w:szCs w:val="32"/>
        </w:rPr>
      </w:pPr>
      <w:r>
        <w:rPr>
          <w:rFonts w:hint="eastAsia" w:ascii="方正黑体_GBK" w:hAnsi="Times New Roman" w:eastAsia="方正黑体_GBK"/>
          <w:bCs/>
          <w:color w:val="auto"/>
          <w:sz w:val="32"/>
          <w:szCs w:val="32"/>
        </w:rPr>
        <w:t>二、分类指标解释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（一）净资产收益率（不含少数股东权益）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净资产收益率是指企业考核当期归属于母公司的净利润同平均母公司净资产的比率。其计算公式为：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净资产收益率=净利润/平均净资产×100%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其中：净资产中不含少数股东权益。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平均净资产=（期初净资产+期末净资产）÷2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（二）总资产报酬率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总资产报酬率是指企业年度内获得的报酬总额与平均资产总额的比率，用以评价企业运用全部资产的总体获利能力。其计算公式为：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总资产报酬率=息税前利润/平均资产总额×100%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息税前利润=利润总额+利息支出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平均资产总额=（年初资产总额+年末资产总额）÷2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（三）成本费用利润率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成本费用利润率是利润与成本费用之间的百分比，反映企业</w:t>
      </w:r>
      <w:r>
        <w:rPr>
          <w:rFonts w:ascii="Times New Roman" w:hAnsi="Times New Roman" w:eastAsia="方正仿宋_GBK"/>
          <w:color w:val="auto"/>
          <w:spacing w:val="6"/>
          <w:sz w:val="32"/>
          <w:szCs w:val="32"/>
        </w:rPr>
        <w:t>要经营过程中发生的耗费与获得的收益之间的关系。其计算公式为：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成本费用利润率=利润总额/成本费用总额×100%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成本费用包括营业成本、营业税金及附加、营业费用、管理费用、财务费用等。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（四）流动资产周转率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流动资产周转率是指企业一定时期内营业总收入同平均流动资产总额的比率。其计算公式为：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流动资产周转率=营业总收入/平均流动资产总额×100%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平均流动资产总额=（年初流动资产+年末流动资产）÷2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（五）总资产周转率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总资产周转率是指企业一定时期内营业总收入同平均资产总额的比率，是综合评价企业全部资产的经营质量和利用效率的重要指标。其计算公式为：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总资产周转率=营业总收入/平均资产总额×100%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平均资产总额=（年初资产总额+年末资产总额）÷2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（六）应收账款周转率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应收账款周转率是年内营业总收入与平均应收账款余额的比率。其计算公式为：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应收账款周转率=营业总收入/平均应收账款余额×100%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4"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pacing w:val="-14"/>
          <w:sz w:val="32"/>
          <w:szCs w:val="32"/>
        </w:rPr>
        <w:t>平均应收账款余额=（年初应收账款余额+年末应收账款余额）÷2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应收账款余额=应收账款+应收账款坏账准备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color w:val="auto"/>
          <w:sz w:val="32"/>
          <w:szCs w:val="32"/>
        </w:rPr>
      </w:pPr>
      <w:r>
        <w:rPr>
          <w:rFonts w:hint="eastAsia" w:ascii="方正楷体_GBK" w:hAnsi="Times New Roman" w:eastAsia="方正楷体_GBK"/>
          <w:bCs/>
          <w:color w:val="auto"/>
          <w:sz w:val="32"/>
          <w:szCs w:val="32"/>
        </w:rPr>
        <w:t>（七）资产负债率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资产负债率是衡量企业利用债权人提供资金进行经营活动的能力，以及反映债权人发放贷款的安全程度。其计算公式为：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资产负债率=负债总额/资产总额×100%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（八）流动比率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流动比率是流动资产对流动负债的比率，用来衡量企业流动资产在短期债务到期之前，可以变为现金用于偿还负债的能力。其计算公式为：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流动比率=流动资产/流动负债×100%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（九）现金流量负债比率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现金流量负债比率是企业一定时期的经营活</w:t>
      </w:r>
      <w:r>
        <w:rPr>
          <w:rFonts w:hint="eastAsia" w:eastAsia="方正仿宋_GBK"/>
          <w:color w:val="auto"/>
          <w:sz w:val="32"/>
          <w:szCs w:val="32"/>
          <w:lang w:eastAsia="zh-CN"/>
        </w:rPr>
        <w:t>动</w:t>
      </w:r>
      <w:r>
        <w:rPr>
          <w:rFonts w:ascii="Times New Roman" w:hAnsi="Times New Roman" w:eastAsia="方正仿宋_GBK"/>
          <w:color w:val="auto"/>
          <w:sz w:val="32"/>
          <w:szCs w:val="32"/>
        </w:rPr>
        <w:t>产生的现金净流量与流动负债比率，反映企业当期偿付短期负债的能</w:t>
      </w:r>
      <w:r>
        <w:rPr>
          <w:rFonts w:hint="eastAsia" w:eastAsia="方正仿宋_GBK"/>
          <w:color w:val="auto"/>
          <w:sz w:val="32"/>
          <w:szCs w:val="32"/>
          <w:lang w:eastAsia="zh-CN"/>
        </w:rPr>
        <w:t>力</w:t>
      </w:r>
      <w:r>
        <w:rPr>
          <w:rFonts w:ascii="Times New Roman" w:hAnsi="Times New Roman" w:eastAsia="方正仿宋_GBK"/>
          <w:color w:val="auto"/>
          <w:sz w:val="32"/>
          <w:szCs w:val="32"/>
        </w:rPr>
        <w:t>。其计算公式为：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现金流量负债比率=经营活</w:t>
      </w:r>
      <w:r>
        <w:rPr>
          <w:rFonts w:hint="eastAsia" w:eastAsia="方正仿宋_GBK"/>
          <w:color w:val="auto"/>
          <w:sz w:val="32"/>
          <w:szCs w:val="32"/>
          <w:lang w:eastAsia="zh-CN"/>
        </w:rPr>
        <w:t>动</w:t>
      </w:r>
      <w:r>
        <w:rPr>
          <w:rFonts w:ascii="Times New Roman" w:hAnsi="Times New Roman" w:eastAsia="方正仿宋_GBK"/>
          <w:color w:val="auto"/>
          <w:sz w:val="32"/>
          <w:szCs w:val="32"/>
        </w:rPr>
        <w:t>产生的现金净流量净额/年末流动负债×100%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（十）营业总收入增长率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营业总收入增长率是指企业营业总收入增长额与上年营业</w:t>
      </w:r>
      <w:r>
        <w:rPr>
          <w:rFonts w:ascii="Times New Roman" w:hAnsi="Times New Roman" w:eastAsia="方正仿宋_GBK"/>
          <w:color w:val="auto"/>
          <w:spacing w:val="6"/>
          <w:sz w:val="32"/>
          <w:szCs w:val="32"/>
        </w:rPr>
        <w:t>总收入的比率，反映企业营业收入的增减变动情况。其计算公式为：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营业总收入增长率=营业总收入增长额/上年营业总收入×100%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营业总收入增长额=本年营业总收入-上年营业总收入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（十一）利润增长率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利润增长率指企业利润增长额与上年利润总额的比率，反映企业利润总额的增减变动情况。其计算公式为：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利润增长率=利润增长额/上年利润总额×100%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利润增长额=本年利润总额-上年利润总额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（十二）资本积累率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资本积累率是指企业本年所有者权益增长额同上年所有者权益总额的比率，表示当年资本的积累能力，是评价企业发展潜力的重要指标。其计算公式为：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资本积累率=所有者权益增长额/上年所有者权益×100%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所有者权益增长额=本</w:t>
      </w:r>
      <w:r>
        <w:rPr>
          <w:rFonts w:hint="eastAsia" w:eastAsia="方正仿宋_GBK"/>
          <w:color w:val="auto"/>
          <w:sz w:val="32"/>
          <w:szCs w:val="32"/>
          <w:lang w:eastAsia="zh-CN"/>
        </w:rPr>
        <w:t>年</w:t>
      </w:r>
      <w:r>
        <w:rPr>
          <w:rFonts w:ascii="Times New Roman" w:hAnsi="Times New Roman" w:eastAsia="方正仿宋_GBK"/>
          <w:color w:val="auto"/>
          <w:sz w:val="32"/>
          <w:szCs w:val="32"/>
        </w:rPr>
        <w:t>所有者权益-上年所有者权益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楷体_GBK" w:hAnsi="Times New Roman" w:eastAsia="方正楷体_GBK"/>
          <w:bCs/>
          <w:color w:val="auto"/>
          <w:sz w:val="32"/>
          <w:szCs w:val="32"/>
        </w:rPr>
      </w:pPr>
      <w:r>
        <w:rPr>
          <w:rFonts w:hint="eastAsia" w:ascii="方正楷体_GBK" w:hAnsi="Times New Roman" w:eastAsia="方正楷体_GBK"/>
          <w:bCs/>
          <w:color w:val="auto"/>
          <w:sz w:val="32"/>
          <w:szCs w:val="32"/>
        </w:rPr>
        <w:t>（十三）实际上交税费总额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实际上交税费总额是反映企业本年实际上交的增值税、消费税、资源税、城建税、烟叶税、关税、企业所得税、教育费附加及其他税费的合计。</w:t>
      </w:r>
    </w:p>
    <w:p>
      <w:pPr>
        <w:spacing w:line="600" w:lineRule="exact"/>
        <w:ind w:firstLine="640"/>
        <w:rPr>
          <w:rFonts w:ascii="Times New Roman" w:hAnsi="Times New Roman" w:eastAsia="方正仿宋_GBK"/>
          <w:color w:val="auto"/>
          <w:sz w:val="32"/>
          <w:szCs w:val="32"/>
        </w:rPr>
      </w:pPr>
    </w:p>
    <w:p>
      <w:pPr>
        <w:spacing w:line="600" w:lineRule="exact"/>
        <w:ind w:firstLine="640"/>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widowControl/>
        <w:jc w:val="left"/>
        <w:rPr>
          <w:rFonts w:hint="eastAsia" w:ascii="方正黑体_GBK" w:hAnsi="方正黑体_GBK" w:eastAsia="方正黑体_GBK" w:cs="方正黑体_GBK"/>
          <w:bCs/>
          <w:color w:val="auto"/>
          <w:kern w:val="0"/>
          <w:sz w:val="32"/>
          <w:szCs w:val="32"/>
        </w:rPr>
      </w:pPr>
    </w:p>
    <w:p>
      <w:pPr>
        <w:widowControl/>
        <w:jc w:val="left"/>
        <w:rPr>
          <w:rFonts w:hint="eastAsia" w:ascii="方正黑体_GBK" w:hAnsi="方正黑体_GBK" w:eastAsia="方正黑体_GBK" w:cs="方正黑体_GBK"/>
          <w:bCs/>
          <w:color w:val="auto"/>
          <w:kern w:val="0"/>
          <w:sz w:val="32"/>
          <w:szCs w:val="32"/>
        </w:rPr>
      </w:pPr>
    </w:p>
    <w:p>
      <w:pPr>
        <w:widowControl/>
        <w:jc w:val="left"/>
        <w:rPr>
          <w:rFonts w:hint="eastAsia" w:ascii="方正黑体_GBK" w:hAnsi="方正黑体_GBK" w:eastAsia="方正黑体_GBK" w:cs="方正黑体_GBK"/>
          <w:bCs/>
          <w:color w:val="auto"/>
          <w:kern w:val="0"/>
          <w:sz w:val="32"/>
          <w:szCs w:val="32"/>
        </w:rPr>
      </w:pPr>
      <w:r>
        <w:rPr>
          <w:rFonts w:hint="eastAsia" w:ascii="方正黑体_GBK" w:hAnsi="方正黑体_GBK" w:eastAsia="方正黑体_GBK" w:cs="方正黑体_GBK"/>
          <w:bCs/>
          <w:color w:val="auto"/>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附件2</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_GBK" w:hAnsi="Times New Roman" w:eastAsia="方正小标宋_GBK"/>
          <w:bCs/>
          <w:color w:val="auto"/>
          <w:kern w:val="0"/>
          <w:sz w:val="44"/>
          <w:szCs w:val="44"/>
        </w:rPr>
      </w:pPr>
      <w:bookmarkStart w:id="2" w:name="OLE_LINK4"/>
      <w:r>
        <w:rPr>
          <w:rFonts w:hint="eastAsia" w:ascii="方正小标宋_GBK" w:hAnsi="Times New Roman" w:eastAsia="方正小标宋_GBK"/>
          <w:bCs/>
          <w:color w:val="auto"/>
          <w:kern w:val="0"/>
          <w:sz w:val="44"/>
          <w:szCs w:val="44"/>
        </w:rPr>
        <w:t>年度经营业绩考核指标计分办法</w:t>
      </w:r>
    </w:p>
    <w:bookmarkEnd w:id="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ascii="Times New Roman" w:hAnsi="Times New Roman" w:eastAsia="方正仿宋_GBK"/>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方正黑体_GBK" w:hAnsi="Times New Roman" w:eastAsia="方正黑体_GBK"/>
          <w:color w:val="auto"/>
          <w:kern w:val="0"/>
          <w:sz w:val="32"/>
          <w:szCs w:val="32"/>
        </w:rPr>
      </w:pPr>
      <w:r>
        <w:rPr>
          <w:rFonts w:hint="eastAsia" w:ascii="方正黑体_GBK" w:hAnsi="Times New Roman" w:eastAsia="方正黑体_GBK"/>
          <w:color w:val="auto"/>
          <w:kern w:val="0"/>
          <w:sz w:val="32"/>
          <w:szCs w:val="32"/>
        </w:rPr>
        <w:t>一、年度经营业绩考核的综合计分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年度经营业绩考核综合得分=基本指标得分+分类指标得分+综合评价指标得分。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方正黑体_GBK" w:hAnsi="Times New Roman" w:eastAsia="方正黑体_GBK"/>
          <w:color w:val="auto"/>
          <w:kern w:val="0"/>
          <w:sz w:val="32"/>
          <w:szCs w:val="32"/>
        </w:rPr>
      </w:pPr>
      <w:r>
        <w:rPr>
          <w:rFonts w:hint="eastAsia" w:ascii="方正黑体_GBK" w:hAnsi="Times New Roman" w:eastAsia="方正黑体_GBK"/>
          <w:color w:val="auto"/>
          <w:kern w:val="0"/>
          <w:sz w:val="32"/>
          <w:szCs w:val="32"/>
        </w:rPr>
        <w:t>二、年度经营业绩考核各指标计分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年度经营业绩考核各项指标均完成目标值时基本分为100分，具体如下：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color w:val="auto"/>
          <w:kern w:val="0"/>
          <w:sz w:val="32"/>
          <w:szCs w:val="32"/>
          <w:lang w:eastAsia="zh-CN"/>
        </w:rPr>
        <w:t>（一）</w:t>
      </w:r>
      <w:r>
        <w:rPr>
          <w:rFonts w:hint="default" w:ascii="Times New Roman" w:hAnsi="Times New Roman" w:eastAsia="方正仿宋_GBK" w:cs="Times New Roman"/>
          <w:color w:val="auto"/>
          <w:kern w:val="0"/>
          <w:sz w:val="32"/>
          <w:szCs w:val="32"/>
        </w:rPr>
        <w:t>基本指标的基本分为50分。</w:t>
      </w:r>
      <w:r>
        <w:rPr>
          <w:rFonts w:hint="default" w:ascii="Times New Roman" w:hAnsi="Times New Roman" w:eastAsia="方正仿宋_GBK" w:cs="Times New Roman"/>
          <w:color w:val="auto"/>
          <w:sz w:val="32"/>
          <w:szCs w:val="32"/>
        </w:rPr>
        <w:t>完成目标值得基本分；超过目标值时，绝对值指标每高于3个百分点，加0.5分，相对值指标每高于0.5个百分点，加0.5分；绝对值指标每低于3个百分点，扣0.5分；相对值指标每低于0.5个百分点，扣0.5分。基本指标的加分与扣分的上限与下限分别为该项指标基本分的20%（按权重数计算），最多加减分值为10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default" w:ascii="Times New Roman" w:hAnsi="Times New Roman" w:eastAsia="方正仿宋_GBK" w:cs="Times New Roman"/>
          <w:color w:val="auto"/>
          <w:kern w:val="0"/>
          <w:sz w:val="32"/>
          <w:szCs w:val="32"/>
        </w:rPr>
      </w:pPr>
      <w:r>
        <w:rPr>
          <w:rFonts w:hint="default" w:ascii="方正楷体_GBK" w:hAnsi="方正楷体_GBK" w:eastAsia="方正楷体_GBK" w:cs="方正楷体_GBK"/>
          <w:color w:val="auto"/>
          <w:kern w:val="0"/>
          <w:sz w:val="32"/>
          <w:szCs w:val="32"/>
          <w:lang w:eastAsia="zh-CN"/>
        </w:rPr>
        <w:t>（二）</w:t>
      </w:r>
      <w:r>
        <w:rPr>
          <w:rFonts w:hint="default" w:ascii="Times New Roman" w:hAnsi="Times New Roman" w:eastAsia="方正仿宋_GBK" w:cs="Times New Roman"/>
          <w:color w:val="auto"/>
          <w:kern w:val="0"/>
          <w:sz w:val="32"/>
          <w:szCs w:val="32"/>
        </w:rPr>
        <w:t>分类指标的基本分为30分。分类指标为两个以上的，对各指标分别设立权重，各权重的总数为1。绝对值指标每高于3个百分点，加0.5分；相对值指标每高于0.5个百分点，加0.5分；绝对值指标每低于3个百分点，扣0.5分；相对值指标每低于0.5个百分点，扣0.5分(其中资产负债率指标每高于0.5个百分点，减0.5分，每低于0.5个百分点，加0.5分)。分类指标的加分与扣分的上限与下限分别为该项指标基本分的20%（按权重计算），最多加、减分值为6分。</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default" w:ascii="Times New Roman" w:hAnsi="Times New Roman" w:eastAsia="方正仿宋_GBK"/>
          <w:color w:val="auto"/>
          <w:kern w:val="0"/>
          <w:sz w:val="32"/>
          <w:szCs w:val="32"/>
        </w:rPr>
      </w:pPr>
      <w:r>
        <w:rPr>
          <w:rFonts w:hint="default" w:ascii="方正楷体_GBK" w:hAnsi="方正楷体_GBK" w:eastAsia="方正楷体_GBK" w:cs="方正楷体_GBK"/>
          <w:color w:val="auto"/>
          <w:kern w:val="0"/>
          <w:sz w:val="32"/>
          <w:szCs w:val="32"/>
          <w:lang w:val="en-US" w:eastAsia="zh-CN" w:bidi="ar-SA"/>
        </w:rPr>
        <w:t>（三）</w:t>
      </w:r>
      <w:r>
        <w:rPr>
          <w:rFonts w:hint="default" w:ascii="Times New Roman" w:hAnsi="Times New Roman" w:eastAsia="方正仿宋_GBK" w:cs="Times New Roman"/>
          <w:color w:val="auto"/>
          <w:kern w:val="0"/>
          <w:sz w:val="32"/>
          <w:szCs w:val="32"/>
        </w:rPr>
        <w:t>综合评价指标的基本分为20分。由县国资委从7个方面根据企业实际情况综合打分，前6项指标每项指标3分，最后一项指标2分。</w:t>
      </w: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tabs>
          <w:tab w:val="left" w:pos="805"/>
        </w:tabs>
        <w:spacing w:line="600" w:lineRule="exact"/>
        <w:rPr>
          <w:rFonts w:ascii="Times New Roman" w:hAnsi="Times New Roman" w:eastAsia="方正仿宋_GBK"/>
          <w:color w:val="auto"/>
          <w:sz w:val="32"/>
          <w:szCs w:val="32"/>
        </w:rPr>
      </w:pPr>
      <w:r>
        <w:rPr>
          <w:rFonts w:ascii="Times New Roman" w:hAnsi="Times New Roman" w:eastAsia="方正仿宋_GBK"/>
          <w:color w:val="auto"/>
          <w:sz w:val="32"/>
          <w:szCs w:val="32"/>
        </w:rPr>
        <w:tab/>
      </w: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spacing w:line="600" w:lineRule="exact"/>
        <w:rPr>
          <w:rFonts w:ascii="Times New Roman" w:hAnsi="Times New Roman" w:eastAsia="方正仿宋_GBK"/>
          <w:color w:val="auto"/>
          <w:sz w:val="32"/>
          <w:szCs w:val="32"/>
        </w:rPr>
      </w:pPr>
    </w:p>
    <w:p>
      <w:pPr>
        <w:widowControl/>
        <w:jc w:val="left"/>
        <w:rPr>
          <w:rFonts w:hint="eastAsia" w:ascii="方正黑体_GBK" w:hAnsi="方正黑体_GBK" w:eastAsia="方正黑体_GBK" w:cs="方正黑体_GBK"/>
          <w:bCs/>
          <w:color w:val="auto"/>
          <w:spacing w:val="-6"/>
          <w:kern w:val="0"/>
          <w:sz w:val="32"/>
          <w:szCs w:val="32"/>
        </w:rPr>
      </w:pPr>
      <w:r>
        <w:rPr>
          <w:rFonts w:hint="eastAsia" w:ascii="方正黑体_GBK" w:hAnsi="方正黑体_GBK" w:eastAsia="方正黑体_GBK" w:cs="方正黑体_GBK"/>
          <w:bCs/>
          <w:color w:val="auto"/>
          <w:spacing w:val="-6"/>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eastAsia" w:ascii="Times New Roman" w:hAnsi="Times New Roman" w:eastAsia="方正黑体_GBK" w:cs="Times New Roman"/>
          <w:bCs/>
          <w:color w:val="auto"/>
          <w:spacing w:val="0"/>
          <w:kern w:val="0"/>
          <w:sz w:val="32"/>
          <w:szCs w:val="32"/>
        </w:rPr>
      </w:pPr>
      <w:r>
        <w:rPr>
          <w:rFonts w:hint="eastAsia" w:ascii="Times New Roman" w:hAnsi="Times New Roman" w:eastAsia="方正黑体_GBK" w:cs="Times New Roman"/>
          <w:bCs/>
          <w:color w:val="auto"/>
          <w:spacing w:val="0"/>
          <w:kern w:val="0"/>
          <w:sz w:val="32"/>
          <w:szCs w:val="32"/>
        </w:rPr>
        <w:t>附件3</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_GBK" w:hAnsi="Times New Roman" w:eastAsia="方正小标宋_GBK"/>
          <w:bCs/>
          <w:color w:val="auto"/>
          <w:spacing w:val="0"/>
          <w:kern w:val="0"/>
          <w:sz w:val="44"/>
          <w:szCs w:val="44"/>
        </w:rPr>
      </w:pPr>
      <w:bookmarkStart w:id="3" w:name="OLE_LINK5"/>
      <w:r>
        <w:rPr>
          <w:rFonts w:hint="eastAsia" w:ascii="方正小标宋_GBK" w:hAnsi="Times New Roman" w:eastAsia="方正小标宋_GBK"/>
          <w:bCs/>
          <w:color w:val="auto"/>
          <w:spacing w:val="0"/>
          <w:kern w:val="0"/>
          <w:sz w:val="44"/>
          <w:szCs w:val="44"/>
        </w:rPr>
        <w:t>任期经营业绩考核指标计分办法</w:t>
      </w:r>
    </w:p>
    <w:bookmarkEnd w:id="3"/>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Times New Roman" w:hAnsi="Times New Roman" w:eastAsia="方正仿宋_GBK"/>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黑体_GBK" w:hAnsi="Times New Roman" w:eastAsia="方正黑体_GBK"/>
          <w:color w:val="auto"/>
          <w:spacing w:val="0"/>
          <w:kern w:val="0"/>
          <w:sz w:val="32"/>
          <w:szCs w:val="32"/>
        </w:rPr>
      </w:pPr>
      <w:r>
        <w:rPr>
          <w:rFonts w:hint="eastAsia" w:ascii="方正黑体_GBK" w:hAnsi="Times New Roman" w:eastAsia="方正黑体_GBK"/>
          <w:color w:val="auto"/>
          <w:spacing w:val="0"/>
          <w:kern w:val="0"/>
          <w:sz w:val="32"/>
          <w:szCs w:val="32"/>
        </w:rPr>
        <w:t>一、任期经营业绩考核的综合计分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eastAsia="方正仿宋_GBK"/>
          <w:color w:val="auto"/>
          <w:spacing w:val="0"/>
          <w:kern w:val="0"/>
          <w:sz w:val="32"/>
          <w:szCs w:val="32"/>
        </w:rPr>
      </w:pPr>
      <w:r>
        <w:rPr>
          <w:rFonts w:ascii="Times New Roman" w:hAnsi="Times New Roman" w:eastAsia="方正仿宋_GBK"/>
          <w:color w:val="auto"/>
          <w:spacing w:val="0"/>
          <w:kern w:val="0"/>
          <w:sz w:val="32"/>
          <w:szCs w:val="32"/>
        </w:rPr>
        <w:t>任期经营业绩考核综合得分=基本指标得分+管理评价指标得分+任期内年度经营业绩考核结果指标得分。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方正黑体_GBK" w:hAnsi="Times New Roman" w:eastAsia="方正黑体_GBK"/>
          <w:color w:val="auto"/>
          <w:spacing w:val="0"/>
          <w:kern w:val="0"/>
          <w:sz w:val="32"/>
          <w:szCs w:val="32"/>
        </w:rPr>
      </w:pPr>
      <w:r>
        <w:rPr>
          <w:rFonts w:hint="eastAsia" w:ascii="方正黑体_GBK" w:hAnsi="Times New Roman" w:eastAsia="方正黑体_GBK"/>
          <w:color w:val="auto"/>
          <w:spacing w:val="0"/>
          <w:kern w:val="0"/>
          <w:sz w:val="32"/>
          <w:szCs w:val="32"/>
        </w:rPr>
        <w:t>二、任期经营业绩考核各指标计分</w:t>
      </w:r>
    </w:p>
    <w:tbl>
      <w:tblPr>
        <w:tblStyle w:val="5"/>
        <w:tblpPr w:leftFromText="180" w:rightFromText="180" w:vertAnchor="text" w:tblpXSpec="center"/>
        <w:tblW w:w="9606" w:type="dxa"/>
        <w:jc w:val="center"/>
        <w:tblInd w:w="0" w:type="dxa"/>
        <w:tblLayout w:type="fixed"/>
        <w:tblCellMar>
          <w:top w:w="0" w:type="dxa"/>
          <w:left w:w="0" w:type="dxa"/>
          <w:bottom w:w="0" w:type="dxa"/>
          <w:right w:w="0" w:type="dxa"/>
        </w:tblCellMar>
      </w:tblPr>
      <w:tblGrid>
        <w:gridCol w:w="780"/>
        <w:gridCol w:w="994"/>
        <w:gridCol w:w="1460"/>
        <w:gridCol w:w="1446"/>
        <w:gridCol w:w="1227"/>
        <w:gridCol w:w="1211"/>
        <w:gridCol w:w="2488"/>
      </w:tblGrid>
      <w:tr>
        <w:tblPrEx>
          <w:tblLayout w:type="fixed"/>
          <w:tblCellMar>
            <w:top w:w="0" w:type="dxa"/>
            <w:left w:w="0" w:type="dxa"/>
            <w:bottom w:w="0" w:type="dxa"/>
            <w:right w:w="0" w:type="dxa"/>
          </w:tblCellMar>
        </w:tblPrEx>
        <w:trPr>
          <w:trHeight w:val="405" w:hRule="atLeast"/>
          <w:jc w:val="center"/>
        </w:trPr>
        <w:tc>
          <w:tcPr>
            <w:tcW w:w="1774" w:type="dxa"/>
            <w:gridSpan w:val="2"/>
            <w:vMerge w:val="restart"/>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分 值</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指标类型</w:t>
            </w:r>
          </w:p>
        </w:tc>
        <w:tc>
          <w:tcPr>
            <w:tcW w:w="1460" w:type="dxa"/>
            <w:vMerge w:val="restart"/>
            <w:tcBorders>
              <w:top w:val="single" w:color="000000" w:sz="8" w:space="0"/>
              <w:left w:val="nil"/>
              <w:bottom w:val="single" w:color="000000" w:sz="8"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完成目标值</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得基本分</w:t>
            </w:r>
          </w:p>
        </w:tc>
        <w:tc>
          <w:tcPr>
            <w:tcW w:w="2673" w:type="dxa"/>
            <w:gridSpan w:val="2"/>
            <w:tcBorders>
              <w:top w:val="single" w:color="000000" w:sz="8" w:space="0"/>
              <w:left w:val="nil"/>
              <w:bottom w:val="single" w:color="000000" w:sz="8"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高于（低于）目标值</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得分情况</w:t>
            </w:r>
          </w:p>
        </w:tc>
        <w:tc>
          <w:tcPr>
            <w:tcW w:w="1211" w:type="dxa"/>
            <w:vMerge w:val="restart"/>
            <w:tcBorders>
              <w:top w:val="single" w:color="000000" w:sz="8" w:space="0"/>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最多加</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（减）分值</w:t>
            </w:r>
          </w:p>
        </w:tc>
        <w:tc>
          <w:tcPr>
            <w:tcW w:w="2488" w:type="dxa"/>
            <w:tcBorders>
              <w:top w:val="single" w:color="000000" w:sz="8" w:space="0"/>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备 注</w:t>
            </w:r>
          </w:p>
        </w:tc>
      </w:tr>
      <w:tr>
        <w:tblPrEx>
          <w:tblLayout w:type="fixed"/>
          <w:tblCellMar>
            <w:top w:w="0" w:type="dxa"/>
            <w:left w:w="0" w:type="dxa"/>
            <w:bottom w:w="0" w:type="dxa"/>
            <w:right w:w="0" w:type="dxa"/>
          </w:tblCellMar>
        </w:tblPrEx>
        <w:trPr>
          <w:trHeight w:val="369" w:hRule="atLeast"/>
          <w:jc w:val="center"/>
        </w:trPr>
        <w:tc>
          <w:tcPr>
            <w:tcW w:w="1774" w:type="dxa"/>
            <w:gridSpan w:val="2"/>
            <w:vMerge w:val="continue"/>
            <w:tcBorders>
              <w:top w:val="single" w:color="000000" w:sz="8" w:space="0"/>
              <w:left w:val="single" w:color="000000" w:sz="8" w:space="0"/>
              <w:bottom w:val="single" w:color="000000" w:sz="8" w:space="0"/>
              <w:right w:val="single" w:color="000000" w:sz="8" w:space="0"/>
            </w:tcBorders>
            <w:vAlign w:val="top"/>
          </w:tcPr>
          <w:p>
            <w:pPr>
              <w:spacing w:line="440" w:lineRule="exact"/>
              <w:rPr>
                <w:rFonts w:ascii="Times New Roman" w:hAnsi="Times New Roman" w:eastAsia="方正仿宋_GBK"/>
                <w:color w:val="auto"/>
                <w:sz w:val="28"/>
                <w:szCs w:val="28"/>
              </w:rPr>
            </w:pPr>
          </w:p>
        </w:tc>
        <w:tc>
          <w:tcPr>
            <w:tcW w:w="1460" w:type="dxa"/>
            <w:vMerge w:val="continue"/>
            <w:tcBorders>
              <w:top w:val="single" w:color="000000" w:sz="8" w:space="0"/>
              <w:left w:val="nil"/>
              <w:bottom w:val="single" w:color="000000" w:sz="8" w:space="0"/>
              <w:right w:val="single" w:color="000000" w:sz="8" w:space="0"/>
            </w:tcBorders>
            <w:vAlign w:val="center"/>
          </w:tcPr>
          <w:p>
            <w:pPr>
              <w:spacing w:line="440" w:lineRule="exact"/>
              <w:rPr>
                <w:rFonts w:ascii="Times New Roman" w:hAnsi="Times New Roman" w:eastAsia="方正仿宋_GBK"/>
                <w:color w:val="auto"/>
                <w:sz w:val="28"/>
                <w:szCs w:val="28"/>
              </w:rPr>
            </w:pPr>
          </w:p>
        </w:tc>
        <w:tc>
          <w:tcPr>
            <w:tcW w:w="1446" w:type="dxa"/>
            <w:tcBorders>
              <w:top w:val="nil"/>
              <w:left w:val="nil"/>
              <w:bottom w:val="single" w:color="000000" w:sz="8"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高于（低于）</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目标值%</w:t>
            </w:r>
          </w:p>
        </w:tc>
        <w:tc>
          <w:tcPr>
            <w:tcW w:w="1227" w:type="dxa"/>
            <w:tcBorders>
              <w:top w:val="nil"/>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加（减）分</w:t>
            </w:r>
          </w:p>
        </w:tc>
        <w:tc>
          <w:tcPr>
            <w:tcW w:w="1211" w:type="dxa"/>
            <w:vMerge w:val="continue"/>
            <w:tcBorders>
              <w:top w:val="single" w:color="000000" w:sz="8" w:space="0"/>
              <w:left w:val="nil"/>
              <w:bottom w:val="single" w:color="auto" w:sz="4" w:space="0"/>
              <w:right w:val="single" w:color="000000" w:sz="8" w:space="0"/>
            </w:tcBorders>
            <w:tcMar>
              <w:left w:w="51" w:type="dxa"/>
              <w:right w:w="51" w:type="dxa"/>
            </w:tcMar>
            <w:vAlign w:val="center"/>
          </w:tcPr>
          <w:p>
            <w:pPr>
              <w:spacing w:line="440" w:lineRule="exact"/>
              <w:rPr>
                <w:rFonts w:ascii="Times New Roman" w:hAnsi="Times New Roman" w:eastAsia="方正仿宋_GBK"/>
                <w:color w:val="auto"/>
                <w:sz w:val="28"/>
                <w:szCs w:val="28"/>
              </w:rPr>
            </w:pPr>
          </w:p>
        </w:tc>
        <w:tc>
          <w:tcPr>
            <w:tcW w:w="2488" w:type="dxa"/>
            <w:tcBorders>
              <w:top w:val="single" w:color="000000" w:sz="8" w:space="0"/>
              <w:left w:val="nil"/>
              <w:bottom w:val="single" w:color="auto" w:sz="4" w:space="0"/>
              <w:right w:val="single" w:color="000000" w:sz="8" w:space="0"/>
            </w:tcBorders>
            <w:tcMar>
              <w:left w:w="51" w:type="dxa"/>
              <w:right w:w="51" w:type="dxa"/>
            </w:tcMar>
            <w:vAlign w:val="center"/>
          </w:tcPr>
          <w:p>
            <w:pPr>
              <w:spacing w:line="440" w:lineRule="exact"/>
              <w:rPr>
                <w:rFonts w:ascii="Times New Roman" w:hAnsi="Times New Roman" w:eastAsia="方正仿宋_GBK"/>
                <w:color w:val="auto"/>
                <w:sz w:val="32"/>
                <w:szCs w:val="32"/>
              </w:rPr>
            </w:pPr>
          </w:p>
        </w:tc>
      </w:tr>
      <w:tr>
        <w:tblPrEx>
          <w:tblLayout w:type="fixed"/>
          <w:tblCellMar>
            <w:top w:w="0" w:type="dxa"/>
            <w:left w:w="0" w:type="dxa"/>
            <w:bottom w:w="0" w:type="dxa"/>
            <w:right w:w="0" w:type="dxa"/>
          </w:tblCellMar>
        </w:tblPrEx>
        <w:trPr>
          <w:trHeight w:val="680" w:hRule="atLeast"/>
          <w:jc w:val="center"/>
        </w:trPr>
        <w:tc>
          <w:tcPr>
            <w:tcW w:w="780" w:type="dxa"/>
            <w:vMerge w:val="restart"/>
            <w:tcBorders>
              <w:top w:val="nil"/>
              <w:left w:val="single" w:color="000000" w:sz="8" w:space="0"/>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基本</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指标</w:t>
            </w:r>
          </w:p>
        </w:tc>
        <w:tc>
          <w:tcPr>
            <w:tcW w:w="994" w:type="dxa"/>
            <w:tcBorders>
              <w:top w:val="nil"/>
              <w:left w:val="nil"/>
              <w:bottom w:val="single" w:color="000000" w:sz="8"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绝对值</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指标</w:t>
            </w:r>
          </w:p>
        </w:tc>
        <w:tc>
          <w:tcPr>
            <w:tcW w:w="1460" w:type="dxa"/>
            <w:vMerge w:val="restart"/>
            <w:tcBorders>
              <w:top w:val="nil"/>
              <w:left w:val="nil"/>
              <w:bottom w:val="single" w:color="000000" w:sz="8"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70分</w:t>
            </w:r>
          </w:p>
        </w:tc>
        <w:tc>
          <w:tcPr>
            <w:tcW w:w="1446" w:type="dxa"/>
            <w:tcBorders>
              <w:top w:val="nil"/>
              <w:left w:val="nil"/>
              <w:bottom w:val="single" w:color="000000" w:sz="8"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±3%</w:t>
            </w:r>
          </w:p>
        </w:tc>
        <w:tc>
          <w:tcPr>
            <w:tcW w:w="1227" w:type="dxa"/>
            <w:tcBorders>
              <w:top w:val="single" w:color="auto" w:sz="4" w:space="0"/>
              <w:left w:val="single" w:color="auto" w:sz="4" w:space="0"/>
              <w:bottom w:val="single" w:color="000000" w:sz="8"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±0.5分</w:t>
            </w:r>
          </w:p>
        </w:tc>
        <w:tc>
          <w:tcPr>
            <w:tcW w:w="1211" w:type="dxa"/>
            <w:vMerge w:val="restart"/>
            <w:tcBorders>
              <w:top w:val="single" w:color="auto" w:sz="4" w:space="0"/>
              <w:left w:val="single" w:color="auto" w:sz="4" w:space="0"/>
              <w:bottom w:val="single" w:color="auto" w:sz="4"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±14分</w:t>
            </w:r>
          </w:p>
        </w:tc>
        <w:tc>
          <w:tcPr>
            <w:tcW w:w="2488" w:type="dxa"/>
            <w:vMerge w:val="restart"/>
            <w:tcBorders>
              <w:top w:val="single" w:color="auto" w:sz="4" w:space="0"/>
              <w:left w:val="single" w:color="auto" w:sz="4" w:space="0"/>
              <w:bottom w:val="single" w:color="auto" w:sz="4" w:space="0"/>
              <w:right w:val="single" w:color="auto" w:sz="4" w:space="0"/>
            </w:tcBorders>
            <w:tcMar>
              <w:left w:w="51" w:type="dxa"/>
              <w:right w:w="51"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对各指标分别设立权重，各权重的总数为1。各指标的加分与减分的上限和下限分别为该项指标基本分的20%。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相对指标是资产负债率的加减分相反。</w:t>
            </w:r>
          </w:p>
        </w:tc>
      </w:tr>
      <w:tr>
        <w:tblPrEx>
          <w:tblLayout w:type="fixed"/>
          <w:tblCellMar>
            <w:top w:w="0" w:type="dxa"/>
            <w:left w:w="0" w:type="dxa"/>
            <w:bottom w:w="0" w:type="dxa"/>
            <w:right w:w="0" w:type="dxa"/>
          </w:tblCellMar>
        </w:tblPrEx>
        <w:trPr>
          <w:trHeight w:val="2305" w:hRule="atLeast"/>
          <w:jc w:val="center"/>
        </w:trPr>
        <w:tc>
          <w:tcPr>
            <w:tcW w:w="780" w:type="dxa"/>
            <w:vMerge w:val="continue"/>
            <w:tcBorders>
              <w:top w:val="nil"/>
              <w:left w:val="single" w:color="000000" w:sz="8" w:space="0"/>
              <w:bottom w:val="single" w:color="auto" w:sz="4" w:space="0"/>
              <w:right w:val="single" w:color="000000" w:sz="8" w:space="0"/>
            </w:tcBorders>
            <w:tcMar>
              <w:left w:w="51" w:type="dxa"/>
              <w:right w:w="51" w:type="dxa"/>
            </w:tcMar>
            <w:vAlign w:val="center"/>
          </w:tcPr>
          <w:p>
            <w:pPr>
              <w:spacing w:line="440" w:lineRule="exact"/>
              <w:rPr>
                <w:rFonts w:ascii="Times New Roman" w:hAnsi="Times New Roman" w:eastAsia="方正仿宋_GBK"/>
                <w:color w:val="auto"/>
                <w:sz w:val="28"/>
                <w:szCs w:val="28"/>
              </w:rPr>
            </w:pPr>
          </w:p>
        </w:tc>
        <w:tc>
          <w:tcPr>
            <w:tcW w:w="994" w:type="dxa"/>
            <w:tcBorders>
              <w:top w:val="nil"/>
              <w:left w:val="nil"/>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相对值</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指标</w:t>
            </w:r>
          </w:p>
        </w:tc>
        <w:tc>
          <w:tcPr>
            <w:tcW w:w="1460" w:type="dxa"/>
            <w:vMerge w:val="continue"/>
            <w:tcBorders>
              <w:top w:val="nil"/>
              <w:left w:val="nil"/>
              <w:bottom w:val="single" w:color="000000" w:sz="8" w:space="0"/>
              <w:right w:val="single" w:color="000000" w:sz="8" w:space="0"/>
            </w:tcBorders>
            <w:tcMar>
              <w:left w:w="51" w:type="dxa"/>
              <w:right w:w="51" w:type="dxa"/>
            </w:tcMar>
            <w:vAlign w:val="center"/>
          </w:tcPr>
          <w:p>
            <w:pPr>
              <w:spacing w:line="440" w:lineRule="exact"/>
              <w:rPr>
                <w:rFonts w:ascii="Times New Roman" w:hAnsi="Times New Roman" w:eastAsia="方正仿宋_GBK"/>
                <w:color w:val="auto"/>
                <w:sz w:val="28"/>
                <w:szCs w:val="28"/>
              </w:rPr>
            </w:pPr>
          </w:p>
        </w:tc>
        <w:tc>
          <w:tcPr>
            <w:tcW w:w="1446" w:type="dxa"/>
            <w:tcBorders>
              <w:top w:val="nil"/>
              <w:left w:val="nil"/>
              <w:bottom w:val="single" w:color="000000" w:sz="8"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±0.5%</w:t>
            </w:r>
          </w:p>
        </w:tc>
        <w:tc>
          <w:tcPr>
            <w:tcW w:w="1227" w:type="dxa"/>
            <w:tcBorders>
              <w:top w:val="nil"/>
              <w:left w:val="single" w:color="auto" w:sz="4" w:space="0"/>
              <w:bottom w:val="single" w:color="auto" w:sz="4"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±0.5分</w:t>
            </w:r>
          </w:p>
        </w:tc>
        <w:tc>
          <w:tcPr>
            <w:tcW w:w="1211" w:type="dxa"/>
            <w:vMerge w:val="continue"/>
            <w:tcBorders>
              <w:top w:val="single" w:color="auto" w:sz="4" w:space="0"/>
              <w:left w:val="single" w:color="auto" w:sz="4" w:space="0"/>
              <w:bottom w:val="single" w:color="auto" w:sz="4" w:space="0"/>
              <w:right w:val="single" w:color="auto" w:sz="4" w:space="0"/>
            </w:tcBorders>
            <w:tcMar>
              <w:left w:w="51" w:type="dxa"/>
              <w:right w:w="51" w:type="dxa"/>
            </w:tcMar>
            <w:vAlign w:val="center"/>
          </w:tcPr>
          <w:p>
            <w:pPr>
              <w:spacing w:line="440" w:lineRule="exact"/>
              <w:rPr>
                <w:rFonts w:ascii="Times New Roman" w:hAnsi="Times New Roman" w:eastAsia="方正仿宋_GBK"/>
                <w:color w:val="auto"/>
                <w:sz w:val="28"/>
                <w:szCs w:val="28"/>
              </w:rPr>
            </w:pPr>
          </w:p>
        </w:tc>
        <w:tc>
          <w:tcPr>
            <w:tcW w:w="2488" w:type="dxa"/>
            <w:vMerge w:val="continue"/>
            <w:tcBorders>
              <w:top w:val="single" w:color="auto" w:sz="4" w:space="0"/>
              <w:left w:val="single" w:color="auto" w:sz="4" w:space="0"/>
              <w:bottom w:val="single" w:color="auto" w:sz="4" w:space="0"/>
              <w:right w:val="single" w:color="auto" w:sz="4" w:space="0"/>
            </w:tcBorders>
            <w:tcMar>
              <w:left w:w="51" w:type="dxa"/>
              <w:right w:w="51" w:type="dxa"/>
            </w:tcMar>
            <w:vAlign w:val="top"/>
          </w:tcPr>
          <w:p>
            <w:pPr>
              <w:spacing w:line="440" w:lineRule="exact"/>
              <w:rPr>
                <w:rFonts w:ascii="Times New Roman" w:hAnsi="Times New Roman" w:eastAsia="方正仿宋_GBK"/>
                <w:color w:val="auto"/>
                <w:sz w:val="28"/>
                <w:szCs w:val="28"/>
              </w:rPr>
            </w:pPr>
          </w:p>
        </w:tc>
      </w:tr>
      <w:tr>
        <w:tblPrEx>
          <w:tblLayout w:type="fixed"/>
          <w:tblCellMar>
            <w:top w:w="0" w:type="dxa"/>
            <w:left w:w="0" w:type="dxa"/>
            <w:bottom w:w="0" w:type="dxa"/>
            <w:right w:w="0" w:type="dxa"/>
          </w:tblCellMar>
        </w:tblPrEx>
        <w:trPr>
          <w:trHeight w:val="688" w:hRule="atLeast"/>
          <w:jc w:val="center"/>
        </w:trPr>
        <w:tc>
          <w:tcPr>
            <w:tcW w:w="1774" w:type="dxa"/>
            <w:gridSpan w:val="2"/>
            <w:tcBorders>
              <w:top w:val="single" w:color="auto" w:sz="4" w:space="0"/>
              <w:left w:val="single" w:color="000000" w:sz="8" w:space="0"/>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管理评价指标</w:t>
            </w:r>
          </w:p>
        </w:tc>
        <w:tc>
          <w:tcPr>
            <w:tcW w:w="1460" w:type="dxa"/>
            <w:tcBorders>
              <w:top w:val="nil"/>
              <w:left w:val="nil"/>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20分</w:t>
            </w:r>
          </w:p>
        </w:tc>
        <w:tc>
          <w:tcPr>
            <w:tcW w:w="2673" w:type="dxa"/>
            <w:gridSpan w:val="2"/>
            <w:tcBorders>
              <w:top w:val="nil"/>
              <w:left w:val="nil"/>
              <w:bottom w:val="single" w:color="auto" w:sz="4" w:space="0"/>
              <w:right w:val="single" w:color="000000" w:sz="8" w:space="0"/>
            </w:tcBorders>
            <w:vAlign w:val="center"/>
          </w:tcPr>
          <w:p>
            <w:pPr>
              <w:spacing w:line="440" w:lineRule="exact"/>
              <w:rPr>
                <w:rFonts w:ascii="Times New Roman" w:hAnsi="Times New Roman" w:eastAsia="方正仿宋_GBK"/>
                <w:color w:val="auto"/>
                <w:kern w:val="0"/>
                <w:sz w:val="28"/>
                <w:szCs w:val="28"/>
              </w:rPr>
            </w:pPr>
          </w:p>
        </w:tc>
        <w:tc>
          <w:tcPr>
            <w:tcW w:w="1211" w:type="dxa"/>
            <w:tcBorders>
              <w:top w:val="single" w:color="auto" w:sz="4" w:space="0"/>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p>
        </w:tc>
        <w:tc>
          <w:tcPr>
            <w:tcW w:w="2488" w:type="dxa"/>
            <w:tcBorders>
              <w:top w:val="single" w:color="auto" w:sz="4" w:space="0"/>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该项指标</w:t>
            </w:r>
          </w:p>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没有加分</w:t>
            </w:r>
          </w:p>
        </w:tc>
      </w:tr>
      <w:tr>
        <w:tblPrEx>
          <w:tblLayout w:type="fixed"/>
          <w:tblCellMar>
            <w:top w:w="0" w:type="dxa"/>
            <w:left w:w="0" w:type="dxa"/>
            <w:bottom w:w="0" w:type="dxa"/>
            <w:right w:w="0" w:type="dxa"/>
          </w:tblCellMar>
        </w:tblPrEx>
        <w:trPr>
          <w:trHeight w:val="688" w:hRule="atLeast"/>
          <w:jc w:val="center"/>
        </w:trPr>
        <w:tc>
          <w:tcPr>
            <w:tcW w:w="1774" w:type="dxa"/>
            <w:gridSpan w:val="2"/>
            <w:tcBorders>
              <w:top w:val="single" w:color="auto" w:sz="4" w:space="0"/>
              <w:left w:val="single" w:color="auto" w:sz="4" w:space="0"/>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任期内年度经营业绩考核结果指标</w:t>
            </w:r>
          </w:p>
        </w:tc>
        <w:tc>
          <w:tcPr>
            <w:tcW w:w="1460" w:type="dxa"/>
            <w:tcBorders>
              <w:top w:val="single" w:color="auto" w:sz="4" w:space="0"/>
              <w:left w:val="nil"/>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10分</w:t>
            </w:r>
          </w:p>
        </w:tc>
        <w:tc>
          <w:tcPr>
            <w:tcW w:w="2673" w:type="dxa"/>
            <w:gridSpan w:val="2"/>
            <w:tcBorders>
              <w:top w:val="single" w:color="auto" w:sz="4" w:space="0"/>
              <w:left w:val="nil"/>
              <w:bottom w:val="single" w:color="auto" w:sz="4" w:space="0"/>
              <w:right w:val="single" w:color="000000" w:sz="8" w:space="0"/>
            </w:tcBorders>
            <w:vAlign w:val="center"/>
          </w:tcPr>
          <w:p>
            <w:pPr>
              <w:spacing w:line="440" w:lineRule="exact"/>
              <w:rPr>
                <w:rFonts w:ascii="Times New Roman" w:hAnsi="Times New Roman" w:eastAsia="方正仿宋_GBK"/>
                <w:color w:val="auto"/>
                <w:sz w:val="28"/>
                <w:szCs w:val="28"/>
              </w:rPr>
            </w:pPr>
            <w:r>
              <w:rPr>
                <w:rFonts w:ascii="Times New Roman" w:hAnsi="Times New Roman" w:eastAsia="方正仿宋_GBK"/>
                <w:color w:val="auto"/>
                <w:spacing w:val="-6"/>
                <w:kern w:val="0"/>
                <w:sz w:val="28"/>
                <w:szCs w:val="28"/>
              </w:rPr>
              <w:t>企业负责人三年内的年度经营业绩综合考核结果的算术平均值</w:t>
            </w:r>
          </w:p>
        </w:tc>
        <w:tc>
          <w:tcPr>
            <w:tcW w:w="1211" w:type="dxa"/>
            <w:tcBorders>
              <w:top w:val="single" w:color="auto" w:sz="4" w:space="0"/>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p>
        </w:tc>
        <w:tc>
          <w:tcPr>
            <w:tcW w:w="2488" w:type="dxa"/>
            <w:tcBorders>
              <w:top w:val="single" w:color="auto" w:sz="4" w:space="0"/>
              <w:left w:val="nil"/>
              <w:bottom w:val="single" w:color="auto" w:sz="4"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该项指标</w:t>
            </w:r>
          </w:p>
          <w:p>
            <w:pPr>
              <w:spacing w:line="440" w:lineRule="exact"/>
              <w:jc w:val="center"/>
              <w:rPr>
                <w:rFonts w:ascii="Times New Roman" w:hAnsi="Times New Roman" w:eastAsia="方正仿宋_GBK"/>
                <w:b/>
                <w:color w:val="auto"/>
                <w:kern w:val="0"/>
                <w:sz w:val="32"/>
                <w:szCs w:val="32"/>
              </w:rPr>
            </w:pPr>
            <w:r>
              <w:rPr>
                <w:rFonts w:ascii="Times New Roman" w:hAnsi="Times New Roman" w:eastAsia="方正仿宋_GBK"/>
                <w:color w:val="auto"/>
                <w:spacing w:val="-6"/>
                <w:kern w:val="0"/>
                <w:sz w:val="28"/>
                <w:szCs w:val="28"/>
              </w:rPr>
              <w:t>没有加分</w:t>
            </w:r>
          </w:p>
        </w:tc>
      </w:tr>
      <w:tr>
        <w:tblPrEx>
          <w:tblLayout w:type="fixed"/>
          <w:tblCellMar>
            <w:top w:w="0" w:type="dxa"/>
            <w:left w:w="0" w:type="dxa"/>
            <w:bottom w:w="0" w:type="dxa"/>
            <w:right w:w="0" w:type="dxa"/>
          </w:tblCellMar>
        </w:tblPrEx>
        <w:trPr>
          <w:trHeight w:val="688" w:hRule="atLeast"/>
          <w:jc w:val="center"/>
        </w:trPr>
        <w:tc>
          <w:tcPr>
            <w:tcW w:w="1774" w:type="dxa"/>
            <w:gridSpan w:val="2"/>
            <w:tcBorders>
              <w:top w:val="single" w:color="auto" w:sz="4" w:space="0"/>
              <w:left w:val="single" w:color="auto" w:sz="4" w:space="0"/>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总  分</w:t>
            </w:r>
          </w:p>
        </w:tc>
        <w:tc>
          <w:tcPr>
            <w:tcW w:w="1460" w:type="dxa"/>
            <w:tcBorders>
              <w:top w:val="single" w:color="auto" w:sz="4" w:space="0"/>
              <w:left w:val="nil"/>
              <w:bottom w:val="single" w:color="auto" w:sz="4" w:space="0"/>
              <w:right w:val="single" w:color="000000" w:sz="8" w:space="0"/>
            </w:tcBorders>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100分</w:t>
            </w:r>
          </w:p>
        </w:tc>
        <w:tc>
          <w:tcPr>
            <w:tcW w:w="2673" w:type="dxa"/>
            <w:gridSpan w:val="2"/>
            <w:tcBorders>
              <w:top w:val="single" w:color="auto" w:sz="4" w:space="0"/>
              <w:left w:val="nil"/>
              <w:bottom w:val="single" w:color="auto" w:sz="4" w:space="0"/>
              <w:right w:val="single" w:color="000000" w:sz="8" w:space="0"/>
            </w:tcBorders>
            <w:vAlign w:val="center"/>
          </w:tcPr>
          <w:p>
            <w:pPr>
              <w:spacing w:line="440" w:lineRule="exact"/>
              <w:rPr>
                <w:rFonts w:ascii="Times New Roman" w:hAnsi="Times New Roman" w:eastAsia="方正仿宋_GBK"/>
                <w:color w:val="auto"/>
                <w:kern w:val="0"/>
                <w:sz w:val="28"/>
                <w:szCs w:val="28"/>
              </w:rPr>
            </w:pPr>
          </w:p>
        </w:tc>
        <w:tc>
          <w:tcPr>
            <w:tcW w:w="1211" w:type="dxa"/>
            <w:tcBorders>
              <w:top w:val="single" w:color="auto" w:sz="4" w:space="0"/>
              <w:left w:val="nil"/>
              <w:bottom w:val="single" w:color="auto" w:sz="4" w:space="0"/>
              <w:right w:val="single" w:color="000000" w:sz="8" w:space="0"/>
            </w:tcBorders>
            <w:tcMar>
              <w:left w:w="51" w:type="dxa"/>
              <w:right w:w="51" w:type="dxa"/>
            </w:tcMar>
            <w:vAlign w:val="center"/>
          </w:tcPr>
          <w:p>
            <w:pPr>
              <w:spacing w:line="440" w:lineRule="exact"/>
              <w:jc w:val="center"/>
              <w:rPr>
                <w:rFonts w:ascii="Times New Roman" w:hAnsi="Times New Roman" w:eastAsia="方正仿宋_GBK"/>
                <w:color w:val="auto"/>
                <w:kern w:val="0"/>
                <w:sz w:val="28"/>
                <w:szCs w:val="28"/>
              </w:rPr>
            </w:pPr>
            <w:r>
              <w:rPr>
                <w:rFonts w:ascii="Times New Roman" w:hAnsi="Times New Roman" w:eastAsia="方正仿宋_GBK"/>
                <w:color w:val="auto"/>
                <w:spacing w:val="-6"/>
                <w:kern w:val="0"/>
                <w:sz w:val="28"/>
                <w:szCs w:val="28"/>
              </w:rPr>
              <w:t>±14分</w:t>
            </w:r>
          </w:p>
        </w:tc>
        <w:tc>
          <w:tcPr>
            <w:tcW w:w="2488" w:type="dxa"/>
            <w:tcBorders>
              <w:top w:val="single" w:color="auto" w:sz="4" w:space="0"/>
              <w:left w:val="nil"/>
              <w:bottom w:val="single" w:color="auto" w:sz="4" w:space="0"/>
              <w:right w:val="single" w:color="auto" w:sz="4" w:space="0"/>
            </w:tcBorders>
            <w:tcMar>
              <w:left w:w="51" w:type="dxa"/>
              <w:right w:w="51" w:type="dxa"/>
            </w:tcMar>
            <w:vAlign w:val="center"/>
          </w:tcPr>
          <w:p>
            <w:pPr>
              <w:spacing w:line="440" w:lineRule="exact"/>
              <w:jc w:val="center"/>
              <w:rPr>
                <w:rFonts w:ascii="Times New Roman" w:hAnsi="Times New Roman" w:eastAsia="方正仿宋_GBK"/>
                <w:b/>
                <w:color w:val="auto"/>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kern w:val="0"/>
          <w:sz w:val="32"/>
          <w:szCs w:val="32"/>
        </w:rPr>
      </w:pPr>
      <w:r>
        <w:rPr>
          <w:rFonts w:ascii="Times New Roman" w:hAnsi="Times New Roman" w:eastAsia="方正仿宋_GBK"/>
          <w:color w:val="auto"/>
          <w:spacing w:val="0"/>
          <w:kern w:val="0"/>
          <w:sz w:val="32"/>
          <w:szCs w:val="32"/>
        </w:rPr>
        <w:t>任期经营业绩考核各项指标均完成目标值时基本分为100分，具体如下：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（一）</w:t>
      </w:r>
      <w:r>
        <w:rPr>
          <w:rFonts w:ascii="Times New Roman" w:hAnsi="Times New Roman" w:eastAsia="方正仿宋_GBK"/>
          <w:color w:val="auto"/>
          <w:spacing w:val="0"/>
          <w:kern w:val="0"/>
          <w:sz w:val="32"/>
          <w:szCs w:val="32"/>
        </w:rPr>
        <w:t>基本指标，基本分为70分。基本指标为两个以上的，对各指标分别设立权重，各权重的总数为1。企业负责人完成目标值时，得基本分；超过目标值时，绝对值指标每高于3个百分点，加0.5分；相对值指标每高于0.5个百分点，加0.5分；绝对值指标每低于3个百分点，扣0.5分；相对值指标每低于0.5个百分点，扣0.5分。相对指标是资产负债率的加减分相反。基本指标的加分与扣分的上限与下限分别为该项指标基本分的20%（按权重计算），最多加、减分值为14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（二）</w:t>
      </w:r>
      <w:r>
        <w:rPr>
          <w:rFonts w:ascii="Times New Roman" w:hAnsi="Times New Roman" w:eastAsia="方正仿宋_GBK"/>
          <w:color w:val="auto"/>
          <w:spacing w:val="0"/>
          <w:kern w:val="0"/>
          <w:sz w:val="32"/>
          <w:szCs w:val="32"/>
        </w:rPr>
        <w:t>管理评价指标，基本分为20分。管理评价的5个方面分别按20%的权重计分。根据任期经营业绩责任书中签订的具体计划内容及完成情况采用综合判断法考核计分。具体如下：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方正仿宋_GBK"/>
          <w:color w:val="auto"/>
          <w:spacing w:val="0"/>
          <w:sz w:val="32"/>
          <w:szCs w:val="32"/>
        </w:rPr>
      </w:pPr>
      <w:r>
        <w:rPr>
          <w:rFonts w:hint="eastAsia" w:eastAsia="方正仿宋_GBK"/>
          <w:color w:val="auto"/>
          <w:spacing w:val="0"/>
          <w:kern w:val="0"/>
          <w:sz w:val="32"/>
          <w:szCs w:val="32"/>
          <w:lang w:val="en-US" w:eastAsia="zh-CN"/>
        </w:rPr>
        <w:t>1</w:t>
      </w:r>
      <w:r>
        <w:rPr>
          <w:rFonts w:hint="eastAsia" w:ascii="Times New Roman" w:hAnsi="Times New Roman" w:eastAsia="方正仿宋_GBK"/>
          <w:color w:val="auto"/>
          <w:spacing w:val="0"/>
          <w:kern w:val="0"/>
          <w:sz w:val="32"/>
          <w:szCs w:val="32"/>
        </w:rPr>
        <w:t>．</w:t>
      </w:r>
      <w:r>
        <w:rPr>
          <w:rFonts w:ascii="Times New Roman" w:hAnsi="Times New Roman" w:eastAsia="方正仿宋_GBK"/>
          <w:color w:val="auto"/>
          <w:spacing w:val="0"/>
          <w:sz w:val="32"/>
          <w:szCs w:val="32"/>
        </w:rPr>
        <w:t>主业转方式调结构（4分）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考核主业发展质量的提升：立足优势，着力提高主业发展质量和效益。（2分）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产业产品结构的优化：在发展好现有主业的同时，积极调整产业和产品结构，发展符合企业战略的新产业。（2分）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方正仿宋_GBK"/>
          <w:color w:val="auto"/>
          <w:spacing w:val="0"/>
          <w:sz w:val="32"/>
          <w:szCs w:val="32"/>
        </w:rPr>
      </w:pPr>
      <w:r>
        <w:rPr>
          <w:rFonts w:ascii="Times New Roman" w:hAnsi="Times New Roman" w:eastAsia="方正仿宋_GBK"/>
          <w:color w:val="auto"/>
          <w:spacing w:val="0"/>
          <w:kern w:val="0"/>
          <w:sz w:val="32"/>
          <w:szCs w:val="32"/>
        </w:rPr>
        <w:t>2</w:t>
      </w:r>
      <w:r>
        <w:rPr>
          <w:rFonts w:hint="eastAsia" w:ascii="Times New Roman" w:hAnsi="Times New Roman" w:eastAsia="方正仿宋_GBK"/>
          <w:color w:val="auto"/>
          <w:spacing w:val="0"/>
          <w:kern w:val="0"/>
          <w:sz w:val="32"/>
          <w:szCs w:val="32"/>
        </w:rPr>
        <w:t>．</w:t>
      </w:r>
      <w:r>
        <w:rPr>
          <w:rFonts w:ascii="Times New Roman" w:hAnsi="Times New Roman" w:eastAsia="方正仿宋_GBK"/>
          <w:color w:val="auto"/>
          <w:spacing w:val="0"/>
          <w:sz w:val="32"/>
          <w:szCs w:val="32"/>
        </w:rPr>
        <w:t>资本结构优化（4分）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考核引进各类战略投资人或财务投资者实现企业各层级股权多元化的混合所有制。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方正仿宋_GBK"/>
          <w:color w:val="auto"/>
          <w:spacing w:val="0"/>
          <w:sz w:val="32"/>
          <w:szCs w:val="32"/>
        </w:rPr>
      </w:pPr>
      <w:r>
        <w:rPr>
          <w:rFonts w:hint="eastAsia" w:eastAsia="方正仿宋_GBK"/>
          <w:color w:val="auto"/>
          <w:spacing w:val="0"/>
          <w:kern w:val="0"/>
          <w:sz w:val="32"/>
          <w:szCs w:val="32"/>
          <w:lang w:val="en-US" w:eastAsia="zh-CN"/>
        </w:rPr>
        <w:t>3</w:t>
      </w:r>
      <w:r>
        <w:rPr>
          <w:rFonts w:hint="eastAsia" w:ascii="Times New Roman" w:hAnsi="Times New Roman" w:eastAsia="方正仿宋_GBK"/>
          <w:color w:val="auto"/>
          <w:spacing w:val="0"/>
          <w:kern w:val="0"/>
          <w:sz w:val="32"/>
          <w:szCs w:val="32"/>
        </w:rPr>
        <w:t>．</w:t>
      </w:r>
      <w:r>
        <w:rPr>
          <w:rFonts w:ascii="Times New Roman" w:hAnsi="Times New Roman" w:eastAsia="方正仿宋_GBK"/>
          <w:color w:val="auto"/>
          <w:spacing w:val="0"/>
          <w:sz w:val="32"/>
          <w:szCs w:val="32"/>
        </w:rPr>
        <w:t>创新驱动发展（4分）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创新投入：包括工业企业科技创新投入增长水平等。（2分）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创新机制：包括企业制度变革、企业创新人才建设、商业模式创新成效等。（2分）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方正仿宋_GBK"/>
          <w:color w:val="auto"/>
          <w:spacing w:val="0"/>
          <w:sz w:val="32"/>
          <w:szCs w:val="32"/>
        </w:rPr>
      </w:pPr>
      <w:r>
        <w:rPr>
          <w:rFonts w:hint="eastAsia" w:eastAsia="方正仿宋_GBK"/>
          <w:color w:val="auto"/>
          <w:spacing w:val="0"/>
          <w:kern w:val="0"/>
          <w:sz w:val="32"/>
          <w:szCs w:val="32"/>
          <w:lang w:val="en-US" w:eastAsia="zh-CN"/>
        </w:rPr>
        <w:t>4</w:t>
      </w:r>
      <w:r>
        <w:rPr>
          <w:rFonts w:hint="eastAsia" w:ascii="Times New Roman" w:hAnsi="Times New Roman" w:eastAsia="方正仿宋_GBK"/>
          <w:color w:val="auto"/>
          <w:spacing w:val="0"/>
          <w:kern w:val="0"/>
          <w:sz w:val="32"/>
          <w:szCs w:val="32"/>
        </w:rPr>
        <w:t>．</w:t>
      </w:r>
      <w:r>
        <w:rPr>
          <w:rFonts w:ascii="Times New Roman" w:hAnsi="Times New Roman" w:eastAsia="方正仿宋_GBK"/>
          <w:color w:val="auto"/>
          <w:spacing w:val="0"/>
          <w:sz w:val="32"/>
          <w:szCs w:val="32"/>
        </w:rPr>
        <w:t>公司治理（4分）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运行机制：包括公司董事会、监事会、经理层的职权划及董事会的有效运行情况等。（2分）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董事会决策效能：包括企业战略的制定与实施情况，重大项目的科学论证及实施效果，企业财务预算的重大偏差情况，企业</w:t>
      </w:r>
      <w:r>
        <w:rPr>
          <w:rFonts w:ascii="Times New Roman" w:hAnsi="Times New Roman" w:eastAsia="方正仿宋_GBK"/>
          <w:color w:val="auto"/>
          <w:spacing w:val="6"/>
          <w:sz w:val="32"/>
          <w:szCs w:val="32"/>
        </w:rPr>
        <w:t>财务决算的真实可靠情况及审计提示问题的整改落实情况等。（1分）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集团化管控水平：包括企业管理层级的合理控制，母子公司管理的合理界定等。（1分）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方正仿宋_GBK"/>
          <w:color w:val="auto"/>
          <w:spacing w:val="0"/>
          <w:sz w:val="32"/>
          <w:szCs w:val="32"/>
        </w:rPr>
      </w:pPr>
      <w:r>
        <w:rPr>
          <w:rFonts w:hint="eastAsia" w:eastAsia="方正仿宋_GBK"/>
          <w:color w:val="auto"/>
          <w:spacing w:val="0"/>
          <w:kern w:val="0"/>
          <w:sz w:val="32"/>
          <w:szCs w:val="32"/>
          <w:lang w:val="en-US" w:eastAsia="zh-CN"/>
        </w:rPr>
        <w:t>5</w:t>
      </w:r>
      <w:r>
        <w:rPr>
          <w:rFonts w:hint="eastAsia" w:ascii="Times New Roman" w:hAnsi="Times New Roman" w:eastAsia="方正仿宋_GBK"/>
          <w:color w:val="auto"/>
          <w:spacing w:val="0"/>
          <w:kern w:val="0"/>
          <w:sz w:val="32"/>
          <w:szCs w:val="32"/>
        </w:rPr>
        <w:t>．</w:t>
      </w:r>
      <w:r>
        <w:rPr>
          <w:rFonts w:ascii="Times New Roman" w:hAnsi="Times New Roman" w:eastAsia="方正仿宋_GBK"/>
          <w:color w:val="auto"/>
          <w:spacing w:val="0"/>
          <w:sz w:val="32"/>
          <w:szCs w:val="32"/>
        </w:rPr>
        <w:t>内部控制及风险防范（4分）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制度建设：包括内部控制制度、风险管控体系的建设情况等。（2分）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sz w:val="32"/>
          <w:szCs w:val="32"/>
        </w:rPr>
      </w:pPr>
      <w:r>
        <w:rPr>
          <w:rFonts w:ascii="Times New Roman" w:hAnsi="Times New Roman" w:eastAsia="方正仿宋_GBK"/>
          <w:color w:val="auto"/>
          <w:spacing w:val="0"/>
          <w:sz w:val="32"/>
          <w:szCs w:val="32"/>
        </w:rPr>
        <w:t>制度执行：包括内部控制和风险管控的运行状况等。（1分）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kern w:val="0"/>
          <w:sz w:val="32"/>
          <w:szCs w:val="32"/>
        </w:rPr>
      </w:pPr>
      <w:r>
        <w:rPr>
          <w:rFonts w:ascii="Times New Roman" w:hAnsi="Times New Roman" w:eastAsia="方正仿宋_GBK"/>
          <w:color w:val="auto"/>
          <w:spacing w:val="0"/>
          <w:sz w:val="32"/>
          <w:szCs w:val="32"/>
        </w:rPr>
        <w:t>制度效果：包括企业全面风险防范的成效等。（1分）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（三）</w:t>
      </w:r>
      <w:r>
        <w:rPr>
          <w:rFonts w:ascii="Times New Roman" w:hAnsi="Times New Roman" w:eastAsia="方正仿宋_GBK"/>
          <w:color w:val="auto"/>
          <w:spacing w:val="0"/>
          <w:kern w:val="0"/>
          <w:sz w:val="32"/>
          <w:szCs w:val="32"/>
        </w:rPr>
        <w:t>任期内年度经营业绩考核结果指标的基本分为10分。企业负责人三年内的年度经营业绩综合考核结果的算术平均值，每得一次A级的得10分；每得一次B级的得9分；每得一次C级的得8分；每得一次D级的得7分；每得一次E级的得6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方正黑体_GBK" w:hAnsi="Times New Roman" w:eastAsia="方正黑体_GBK"/>
          <w:color w:val="auto"/>
          <w:spacing w:val="0"/>
          <w:kern w:val="0"/>
          <w:sz w:val="32"/>
          <w:szCs w:val="32"/>
        </w:rPr>
      </w:pPr>
      <w:r>
        <w:rPr>
          <w:rFonts w:hint="eastAsia" w:ascii="方正黑体_GBK" w:hAnsi="Times New Roman" w:eastAsia="方正黑体_GBK"/>
          <w:color w:val="auto"/>
          <w:spacing w:val="0"/>
          <w:kern w:val="0"/>
          <w:sz w:val="32"/>
          <w:szCs w:val="32"/>
        </w:rPr>
        <w:t>三、考核分级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ascii="Times New Roman" w:hAnsi="Times New Roman" w:eastAsia="方正仿宋_GBK"/>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（一）</w:t>
      </w:r>
      <w:r>
        <w:rPr>
          <w:rFonts w:ascii="Times New Roman" w:hAnsi="Times New Roman" w:eastAsia="方正仿宋_GBK"/>
          <w:color w:val="auto"/>
          <w:spacing w:val="0"/>
          <w:kern w:val="0"/>
          <w:sz w:val="32"/>
          <w:szCs w:val="32"/>
        </w:rPr>
        <w:t>根据企业负责人任期经营业绩考核的综合得分，考核结果分为A、B、C、D、E五个级别。</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ascii="Times New Roman" w:hAnsi="Times New Roman" w:eastAsia="方正仿宋_GBK"/>
          <w:color w:val="auto"/>
          <w:kern w:val="0"/>
          <w:sz w:val="32"/>
          <w:szCs w:val="32"/>
        </w:rPr>
      </w:pPr>
      <w:r>
        <w:rPr>
          <w:rFonts w:ascii="Times New Roman" w:hAnsi="Times New Roman" w:eastAsia="方正仿宋_GBK"/>
          <w:color w:val="auto"/>
          <w:spacing w:val="0"/>
          <w:kern w:val="0"/>
          <w:sz w:val="32"/>
          <w:szCs w:val="32"/>
        </w:rPr>
        <w:t>五个级别划分如下：</w:t>
      </w:r>
    </w:p>
    <w:tbl>
      <w:tblPr>
        <w:tblStyle w:val="5"/>
        <w:tblW w:w="8522" w:type="dxa"/>
        <w:jc w:val="center"/>
        <w:tblInd w:w="0" w:type="dxa"/>
        <w:tblLayout w:type="fixed"/>
        <w:tblCellMar>
          <w:top w:w="0" w:type="dxa"/>
          <w:left w:w="0" w:type="dxa"/>
          <w:bottom w:w="0" w:type="dxa"/>
          <w:right w:w="0" w:type="dxa"/>
        </w:tblCellMar>
      </w:tblPr>
      <w:tblGrid>
        <w:gridCol w:w="5070"/>
        <w:gridCol w:w="3452"/>
      </w:tblGrid>
      <w:tr>
        <w:tblPrEx>
          <w:tblLayout w:type="fixed"/>
          <w:tblCellMar>
            <w:top w:w="0" w:type="dxa"/>
            <w:left w:w="0" w:type="dxa"/>
            <w:bottom w:w="0" w:type="dxa"/>
            <w:right w:w="0" w:type="dxa"/>
          </w:tblCellMar>
        </w:tblPrEx>
        <w:trPr>
          <w:trHeight w:val="270" w:hRule="atLeast"/>
          <w:jc w:val="center"/>
        </w:trPr>
        <w:tc>
          <w:tcPr>
            <w:tcW w:w="5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考核得分</w:t>
            </w:r>
          </w:p>
        </w:tc>
        <w:tc>
          <w:tcPr>
            <w:tcW w:w="3452" w:type="dxa"/>
            <w:tcBorders>
              <w:top w:val="single" w:color="auto" w:sz="8" w:space="0"/>
              <w:left w:val="nil"/>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级别</w:t>
            </w:r>
          </w:p>
        </w:tc>
      </w:tr>
      <w:tr>
        <w:tblPrEx>
          <w:tblLayout w:type="fixed"/>
          <w:tblCellMar>
            <w:top w:w="0" w:type="dxa"/>
            <w:left w:w="0" w:type="dxa"/>
            <w:bottom w:w="0" w:type="dxa"/>
            <w:right w:w="0" w:type="dxa"/>
          </w:tblCellMar>
        </w:tblPrEx>
        <w:trPr>
          <w:trHeight w:val="270" w:hRule="atLeast"/>
          <w:jc w:val="center"/>
        </w:trPr>
        <w:tc>
          <w:tcPr>
            <w:tcW w:w="5070" w:type="dxa"/>
            <w:tcBorders>
              <w:top w:val="nil"/>
              <w:left w:val="single" w:color="auto" w:sz="8" w:space="0"/>
              <w:bottom w:val="single" w:color="auto" w:sz="8" w:space="0"/>
              <w:right w:val="single" w:color="auto" w:sz="8" w:space="0"/>
            </w:tcBorders>
            <w:tcMar>
              <w:left w:w="108" w:type="dxa"/>
              <w:right w:w="108" w:type="dxa"/>
            </w:tcMar>
            <w:vAlign w:val="center"/>
          </w:tcPr>
          <w:p>
            <w:pPr>
              <w:spacing w:line="600" w:lineRule="exact"/>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105分＜考核得分≤114分</w:t>
            </w:r>
          </w:p>
        </w:tc>
        <w:tc>
          <w:tcPr>
            <w:tcW w:w="3452" w:type="dxa"/>
            <w:tcBorders>
              <w:top w:val="nil"/>
              <w:left w:val="nil"/>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A</w:t>
            </w:r>
          </w:p>
        </w:tc>
      </w:tr>
      <w:tr>
        <w:tblPrEx>
          <w:tblLayout w:type="fixed"/>
          <w:tblCellMar>
            <w:top w:w="0" w:type="dxa"/>
            <w:left w:w="0" w:type="dxa"/>
            <w:bottom w:w="0" w:type="dxa"/>
            <w:right w:w="0" w:type="dxa"/>
          </w:tblCellMar>
        </w:tblPrEx>
        <w:trPr>
          <w:trHeight w:val="270" w:hRule="atLeast"/>
          <w:jc w:val="center"/>
        </w:trPr>
        <w:tc>
          <w:tcPr>
            <w:tcW w:w="5070" w:type="dxa"/>
            <w:tcBorders>
              <w:top w:val="nil"/>
              <w:left w:val="single" w:color="auto" w:sz="8" w:space="0"/>
              <w:bottom w:val="single" w:color="auto" w:sz="8" w:space="0"/>
              <w:right w:val="single" w:color="auto" w:sz="8" w:space="0"/>
            </w:tcBorders>
            <w:tcMar>
              <w:left w:w="108" w:type="dxa"/>
              <w:right w:w="108" w:type="dxa"/>
            </w:tcMar>
            <w:vAlign w:val="center"/>
          </w:tcPr>
          <w:p>
            <w:pPr>
              <w:spacing w:line="600" w:lineRule="exact"/>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95分＜考核得分≤105分</w:t>
            </w:r>
          </w:p>
        </w:tc>
        <w:tc>
          <w:tcPr>
            <w:tcW w:w="3452" w:type="dxa"/>
            <w:tcBorders>
              <w:top w:val="nil"/>
              <w:left w:val="nil"/>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B</w:t>
            </w:r>
          </w:p>
        </w:tc>
      </w:tr>
      <w:tr>
        <w:tblPrEx>
          <w:tblLayout w:type="fixed"/>
          <w:tblCellMar>
            <w:top w:w="0" w:type="dxa"/>
            <w:left w:w="0" w:type="dxa"/>
            <w:bottom w:w="0" w:type="dxa"/>
            <w:right w:w="0" w:type="dxa"/>
          </w:tblCellMar>
        </w:tblPrEx>
        <w:trPr>
          <w:trHeight w:val="270" w:hRule="atLeast"/>
          <w:jc w:val="center"/>
        </w:trPr>
        <w:tc>
          <w:tcPr>
            <w:tcW w:w="5070" w:type="dxa"/>
            <w:tcBorders>
              <w:top w:val="nil"/>
              <w:left w:val="single" w:color="auto" w:sz="8" w:space="0"/>
              <w:bottom w:val="single" w:color="auto" w:sz="8" w:space="0"/>
              <w:right w:val="single" w:color="auto" w:sz="8" w:space="0"/>
            </w:tcBorders>
            <w:tcMar>
              <w:left w:w="108" w:type="dxa"/>
              <w:right w:w="108" w:type="dxa"/>
            </w:tcMar>
            <w:vAlign w:val="center"/>
          </w:tcPr>
          <w:p>
            <w:pPr>
              <w:spacing w:line="600" w:lineRule="exact"/>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85分＜考核得分≤95分</w:t>
            </w:r>
          </w:p>
        </w:tc>
        <w:tc>
          <w:tcPr>
            <w:tcW w:w="3452" w:type="dxa"/>
            <w:tcBorders>
              <w:top w:val="nil"/>
              <w:left w:val="nil"/>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C</w:t>
            </w:r>
          </w:p>
        </w:tc>
      </w:tr>
      <w:tr>
        <w:tblPrEx>
          <w:tblLayout w:type="fixed"/>
          <w:tblCellMar>
            <w:top w:w="0" w:type="dxa"/>
            <w:left w:w="0" w:type="dxa"/>
            <w:bottom w:w="0" w:type="dxa"/>
            <w:right w:w="0" w:type="dxa"/>
          </w:tblCellMar>
        </w:tblPrEx>
        <w:trPr>
          <w:trHeight w:val="270" w:hRule="atLeast"/>
          <w:jc w:val="center"/>
        </w:trPr>
        <w:tc>
          <w:tcPr>
            <w:tcW w:w="5070" w:type="dxa"/>
            <w:tcBorders>
              <w:top w:val="nil"/>
              <w:left w:val="single" w:color="auto" w:sz="8" w:space="0"/>
              <w:bottom w:val="single" w:color="auto" w:sz="8" w:space="0"/>
              <w:right w:val="single" w:color="auto" w:sz="8" w:space="0"/>
            </w:tcBorders>
            <w:tcMar>
              <w:left w:w="108" w:type="dxa"/>
              <w:right w:w="108" w:type="dxa"/>
            </w:tcMar>
            <w:vAlign w:val="center"/>
          </w:tcPr>
          <w:p>
            <w:pPr>
              <w:spacing w:line="600" w:lineRule="exact"/>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75分＜考核得分≤85分</w:t>
            </w:r>
          </w:p>
        </w:tc>
        <w:tc>
          <w:tcPr>
            <w:tcW w:w="3452" w:type="dxa"/>
            <w:tcBorders>
              <w:top w:val="nil"/>
              <w:left w:val="nil"/>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D</w:t>
            </w:r>
          </w:p>
        </w:tc>
      </w:tr>
      <w:tr>
        <w:tblPrEx>
          <w:tblLayout w:type="fixed"/>
          <w:tblCellMar>
            <w:top w:w="0" w:type="dxa"/>
            <w:left w:w="0" w:type="dxa"/>
            <w:bottom w:w="0" w:type="dxa"/>
            <w:right w:w="0" w:type="dxa"/>
          </w:tblCellMar>
        </w:tblPrEx>
        <w:trPr>
          <w:trHeight w:val="270" w:hRule="atLeast"/>
          <w:jc w:val="center"/>
        </w:trPr>
        <w:tc>
          <w:tcPr>
            <w:tcW w:w="5070" w:type="dxa"/>
            <w:tcBorders>
              <w:top w:val="nil"/>
              <w:left w:val="single" w:color="auto" w:sz="8" w:space="0"/>
              <w:bottom w:val="single" w:color="auto" w:sz="8" w:space="0"/>
              <w:right w:val="single" w:color="auto" w:sz="8" w:space="0"/>
            </w:tcBorders>
            <w:tcMar>
              <w:left w:w="108" w:type="dxa"/>
              <w:right w:w="108" w:type="dxa"/>
            </w:tcMar>
            <w:vAlign w:val="center"/>
          </w:tcPr>
          <w:p>
            <w:pPr>
              <w:spacing w:line="600" w:lineRule="exact"/>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考核得分≤75分</w:t>
            </w:r>
          </w:p>
        </w:tc>
        <w:tc>
          <w:tcPr>
            <w:tcW w:w="3452" w:type="dxa"/>
            <w:tcBorders>
              <w:top w:val="nil"/>
              <w:left w:val="nil"/>
              <w:bottom w:val="single" w:color="auto" w:sz="8" w:space="0"/>
              <w:right w:val="single" w:color="auto" w:sz="8" w:space="0"/>
            </w:tcBorders>
            <w:tcMar>
              <w:left w:w="108" w:type="dxa"/>
              <w:right w:w="108" w:type="dxa"/>
            </w:tcMar>
            <w:vAlign w:val="center"/>
          </w:tcPr>
          <w:p>
            <w:pPr>
              <w:spacing w:line="600" w:lineRule="exact"/>
              <w:jc w:val="center"/>
              <w:rPr>
                <w:rFonts w:ascii="Times New Roman" w:hAnsi="Times New Roman" w:eastAsia="方正仿宋_GBK"/>
                <w:color w:val="auto"/>
                <w:kern w:val="0"/>
                <w:sz w:val="32"/>
                <w:szCs w:val="32"/>
              </w:rPr>
            </w:pPr>
            <w:r>
              <w:rPr>
                <w:rFonts w:ascii="Times New Roman" w:hAnsi="Times New Roman" w:eastAsia="方正仿宋_GBK"/>
                <w:color w:val="auto"/>
                <w:spacing w:val="-6"/>
                <w:kern w:val="0"/>
                <w:sz w:val="32"/>
                <w:szCs w:val="32"/>
              </w:rPr>
              <w:t>E</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ascii="Times New Roman" w:hAnsi="Times New Roman" w:eastAsia="方正黑体_GBK"/>
          <w:color w:val="auto"/>
          <w:sz w:val="32"/>
          <w:szCs w:val="32"/>
        </w:rPr>
      </w:pPr>
      <w:r>
        <w:rPr>
          <w:rFonts w:hint="eastAsia" w:ascii="方正楷体_GBK" w:hAnsi="方正楷体_GBK" w:eastAsia="方正楷体_GBK" w:cs="方正楷体_GBK"/>
          <w:color w:val="auto"/>
          <w:spacing w:val="0"/>
          <w:kern w:val="0"/>
          <w:sz w:val="32"/>
          <w:szCs w:val="32"/>
          <w:lang w:eastAsia="zh-CN"/>
        </w:rPr>
        <w:t>（二）</w:t>
      </w:r>
      <w:r>
        <w:rPr>
          <w:rFonts w:ascii="Times New Roman" w:hAnsi="Times New Roman" w:eastAsia="方正仿宋_GBK"/>
          <w:color w:val="auto"/>
          <w:spacing w:val="-6"/>
          <w:kern w:val="0"/>
          <w:sz w:val="32"/>
          <w:szCs w:val="32"/>
        </w:rPr>
        <w:t>当企业国有资本保值增值率小于100%时，考核级别不超过C级最高限。</w:t>
      </w:r>
    </w:p>
    <w:p>
      <w:pPr>
        <w:rPr>
          <w:color w:val="auto"/>
        </w:rPr>
      </w:pPr>
    </w:p>
    <w:p>
      <w:pPr>
        <w:pStyle w:val="2"/>
        <w:rPr>
          <w:rFonts w:hint="eastAsia" w:eastAsia="仿宋_GB2312"/>
          <w:color w:val="auto"/>
          <w:sz w:val="32"/>
          <w:szCs w:val="32"/>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13977"/>
    <w:rsid w:val="511139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napToGrid/>
      <w:kern w:val="2"/>
      <w:szCs w:val="24"/>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NormalCharacter"/>
    <w:semiHidden/>
    <w:qFormat/>
    <w:uiPriority w:val="0"/>
    <w:rPr>
      <w:rFonts w:ascii="Times New Roman" w:hAnsi="Times New Roman" w:eastAsia="宋体" w:cs="Times New Roman"/>
    </w:rPr>
  </w:style>
  <w:style w:type="paragraph" w:customStyle="1" w:styleId="8">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2021-04-13T00:11:00Z</dcterms:created>
  <dc:creator>康中云</dc:creator>
  <cp:lastModifiedBy>康中云</cp:lastModifiedBy>
  <dcterms:modified xsi:type="dcterms:W3CDTF">2021-04-13T00:13:09Z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