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imes New Roman" w:eastAsia="方正小标宋_GBK"/>
          <w:color w:val="auto"/>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imes New Roman" w:hAnsi="Times New Roman" w:eastAsia="方正小标宋_GBK"/>
          <w:color w:val="auto"/>
          <w:spacing w:val="0"/>
          <w:sz w:val="44"/>
          <w:szCs w:val="44"/>
        </w:rPr>
      </w:pPr>
      <w:bookmarkStart w:id="0" w:name="_GoBack"/>
      <w:bookmarkEnd w:id="0"/>
      <w:r>
        <w:rPr>
          <w:rFonts w:ascii="Times New Roman" w:eastAsia="方正小标宋_GBK"/>
          <w:color w:val="auto"/>
          <w:spacing w:val="0"/>
          <w:sz w:val="44"/>
          <w:szCs w:val="44"/>
        </w:rPr>
        <w:t>陇川县县管企业负责人薪酬管理办法（试行）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Times New Roman" w:hAnsi="Times New Roman" w:eastAsia="方正仿宋_GBK"/>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imes New Roman" w:hAnsi="Times New Roman" w:eastAsia="方正黑体_GBK"/>
          <w:color w:val="auto"/>
          <w:spacing w:val="0"/>
          <w:sz w:val="32"/>
          <w:szCs w:val="32"/>
        </w:rPr>
      </w:pPr>
      <w:r>
        <w:rPr>
          <w:rFonts w:ascii="Times New Roman" w:eastAsia="方正黑体_GBK"/>
          <w:color w:val="auto"/>
          <w:spacing w:val="0"/>
          <w:sz w:val="32"/>
          <w:szCs w:val="32"/>
        </w:rPr>
        <w:t>第一章</w:t>
      </w:r>
      <w:r>
        <w:rPr>
          <w:rFonts w:ascii="Times New Roman" w:hAnsi="Times New Roman" w:eastAsia="方正黑体_GBK"/>
          <w:color w:val="auto"/>
          <w:spacing w:val="0"/>
          <w:sz w:val="32"/>
          <w:szCs w:val="32"/>
        </w:rPr>
        <w:t xml:space="preserve">  </w:t>
      </w:r>
      <w:r>
        <w:rPr>
          <w:rFonts w:ascii="Times New Roman" w:eastAsia="方正黑体_GBK"/>
          <w:color w:val="auto"/>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第一条</w:t>
      </w:r>
      <w:r>
        <w:rPr>
          <w:rFonts w:hint="eastAsia"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为建立健全县管企业负责人激励与约束机制，规范县管企业负责人薪酬发放标准，促进企业改革发展和国有资产保值增值，根据《企业国有资产监督管理暂行条例》及省州县</w:t>
      </w:r>
      <w:r>
        <w:rPr>
          <w:rFonts w:hint="eastAsia" w:eastAsia="方正仿宋_GBK"/>
          <w:color w:val="auto"/>
          <w:spacing w:val="0"/>
          <w:sz w:val="32"/>
          <w:szCs w:val="32"/>
          <w:lang w:eastAsia="zh-CN"/>
        </w:rPr>
        <w:t>《</w:t>
      </w:r>
      <w:r>
        <w:rPr>
          <w:rFonts w:ascii="Times New Roman" w:eastAsia="方正仿宋_GBK"/>
          <w:color w:val="auto"/>
          <w:spacing w:val="0"/>
          <w:sz w:val="32"/>
          <w:szCs w:val="32"/>
        </w:rPr>
        <w:t>深</w:t>
      </w:r>
      <w:r>
        <w:rPr>
          <w:rFonts w:ascii="Times New Roman" w:eastAsia="方正仿宋_GBK"/>
          <w:color w:val="auto"/>
          <w:spacing w:val="-6"/>
          <w:sz w:val="32"/>
          <w:szCs w:val="32"/>
        </w:rPr>
        <w:t>化国企改革三年行动实施方案</w:t>
      </w:r>
      <w:r>
        <w:rPr>
          <w:rFonts w:hint="eastAsia" w:ascii="Times New Roman" w:hAnsi="Times New Roman" w:eastAsia="方正仿宋_GBK"/>
          <w:color w:val="auto"/>
          <w:spacing w:val="-6"/>
          <w:sz w:val="32"/>
          <w:szCs w:val="32"/>
        </w:rPr>
        <w:t>》</w:t>
      </w:r>
      <w:r>
        <w:rPr>
          <w:rFonts w:ascii="Times New Roman" w:eastAsia="方正仿宋_GBK"/>
          <w:color w:val="auto"/>
          <w:spacing w:val="-6"/>
          <w:sz w:val="32"/>
          <w:szCs w:val="32"/>
        </w:rPr>
        <w:t>精神，结合陇川实际，制定本办法。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第二条</w:t>
      </w:r>
      <w:r>
        <w:rPr>
          <w:rFonts w:ascii="Times New Roman" w:hAnsi="Times New Roman" w:eastAsia="方正仿宋_GBK"/>
          <w:b/>
          <w:bCs/>
          <w:color w:val="auto"/>
          <w:spacing w:val="0"/>
          <w:sz w:val="32"/>
          <w:szCs w:val="32"/>
        </w:rPr>
        <w:t xml:space="preserve"> </w:t>
      </w:r>
      <w:r>
        <w:rPr>
          <w:rFonts w:ascii="Times New Roman" w:eastAsia="方正仿宋_GBK"/>
          <w:color w:val="auto"/>
          <w:spacing w:val="0"/>
          <w:sz w:val="32"/>
          <w:szCs w:val="32"/>
        </w:rPr>
        <w:t>本办法所称县管企业负责人，是指县人民政府授权县财政局（</w:t>
      </w:r>
      <w:r>
        <w:rPr>
          <w:rFonts w:hint="eastAsia" w:ascii="Times New Roman" w:eastAsia="方正仿宋_GBK"/>
          <w:color w:val="auto"/>
          <w:spacing w:val="0"/>
          <w:sz w:val="32"/>
          <w:szCs w:val="32"/>
        </w:rPr>
        <w:t>县国资委</w:t>
      </w:r>
      <w:r>
        <w:rPr>
          <w:rFonts w:ascii="Times New Roman" w:eastAsia="方正仿宋_GBK"/>
          <w:color w:val="auto"/>
          <w:spacing w:val="0"/>
          <w:sz w:val="32"/>
          <w:szCs w:val="32"/>
        </w:rPr>
        <w:t>）履行出资人职责的县属国有企业中的党委书记、党委副书记、纪委书记，董事长、副董事长、总经理（总裁）、副总经理（副总裁），监事会主席、财务总监、工会主席等人员，不含市场化选聘的企业领导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第三条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企业负责人薪酬管理遵循以下原则：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color w:val="auto"/>
          <w:spacing w:val="0"/>
          <w:sz w:val="32"/>
          <w:szCs w:val="32"/>
        </w:rPr>
        <w:t>（一）突出薪酬分配的激励约束，强化县管企业负责人目标责任，激发企业发展活力。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color w:val="auto"/>
          <w:spacing w:val="0"/>
          <w:sz w:val="32"/>
          <w:szCs w:val="32"/>
        </w:rPr>
        <w:t>（二）坚持统筹兼顾，既促进形成企业负责人与企业职工之间的合理工资收入分配关系，又合理调节不同岗位管理者之间的薪酬差距，促进薪酬分配更加公平合理。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eastAsia="方正仿宋_GBK"/>
          <w:color w:val="auto"/>
          <w:spacing w:val="0"/>
          <w:sz w:val="32"/>
          <w:szCs w:val="32"/>
        </w:rPr>
      </w:pPr>
      <w:r>
        <w:rPr>
          <w:rFonts w:ascii="Times New Roman" w:eastAsia="方正仿宋_GBK"/>
          <w:color w:val="auto"/>
          <w:spacing w:val="0"/>
          <w:sz w:val="32"/>
          <w:szCs w:val="32"/>
        </w:rPr>
        <w:t>（三）坚持出资人监管与企业自律相结合，完善县管企业负责人薪酬监管体制机制，规范收入分配秩序。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imes New Roman" w:hAnsi="Times New Roman" w:eastAsia="方正黑体_GBK"/>
          <w:color w:val="auto"/>
          <w:spacing w:val="0"/>
          <w:sz w:val="32"/>
          <w:szCs w:val="32"/>
        </w:rPr>
      </w:pPr>
      <w:r>
        <w:rPr>
          <w:rFonts w:ascii="Times New Roman" w:eastAsia="方正黑体_GBK"/>
          <w:color w:val="auto"/>
          <w:spacing w:val="0"/>
          <w:sz w:val="32"/>
          <w:szCs w:val="32"/>
        </w:rPr>
        <w:t>第二章</w:t>
      </w:r>
      <w:r>
        <w:rPr>
          <w:rFonts w:ascii="Times New Roman" w:hAnsi="Times New Roman" w:eastAsia="方正黑体_GBK"/>
          <w:color w:val="auto"/>
          <w:spacing w:val="0"/>
          <w:sz w:val="32"/>
          <w:szCs w:val="32"/>
        </w:rPr>
        <w:t xml:space="preserve">  </w:t>
      </w:r>
      <w:r>
        <w:rPr>
          <w:rFonts w:ascii="Times New Roman" w:eastAsia="方正黑体_GBK"/>
          <w:color w:val="auto"/>
          <w:spacing w:val="0"/>
          <w:sz w:val="32"/>
          <w:szCs w:val="32"/>
        </w:rPr>
        <w:t>薪酬的构成、确定及兑现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第四条</w:t>
      </w:r>
      <w:r>
        <w:rPr>
          <w:rFonts w:ascii="Times New Roman" w:hAnsi="Times New Roman" w:eastAsia="方正仿宋_GBK"/>
          <w:b/>
          <w:bCs/>
          <w:color w:val="auto"/>
          <w:spacing w:val="0"/>
          <w:sz w:val="32"/>
          <w:szCs w:val="32"/>
        </w:rPr>
        <w:t xml:space="preserve"> </w:t>
      </w:r>
      <w:r>
        <w:rPr>
          <w:rFonts w:ascii="Times New Roman" w:eastAsia="方正仿宋_GBK"/>
          <w:color w:val="auto"/>
          <w:spacing w:val="0"/>
          <w:sz w:val="32"/>
          <w:szCs w:val="32"/>
        </w:rPr>
        <w:t>企业负责人薪酬总额基数由基本薪金、绩效薪金和任期激励收入构成，分别占年度薪酬总额基数的</w:t>
      </w:r>
      <w:r>
        <w:rPr>
          <w:rFonts w:ascii="Times New Roman" w:hAnsi="Times New Roman" w:eastAsia="方正仿宋_GBK"/>
          <w:color w:val="auto"/>
          <w:spacing w:val="0"/>
          <w:sz w:val="32"/>
          <w:szCs w:val="32"/>
        </w:rPr>
        <w:t>50%</w:t>
      </w:r>
      <w:r>
        <w:rPr>
          <w:rFonts w:ascii="Times New Roman" w:eastAsia="方正仿宋_GBK"/>
          <w:color w:val="auto"/>
          <w:spacing w:val="0"/>
          <w:sz w:val="32"/>
          <w:szCs w:val="32"/>
        </w:rPr>
        <w:t>、</w:t>
      </w:r>
      <w:r>
        <w:rPr>
          <w:rFonts w:ascii="Times New Roman" w:hAnsi="Times New Roman" w:eastAsia="方正仿宋_GBK"/>
          <w:color w:val="auto"/>
          <w:spacing w:val="0"/>
          <w:sz w:val="32"/>
          <w:szCs w:val="32"/>
        </w:rPr>
        <w:t>30%</w:t>
      </w:r>
      <w:r>
        <w:rPr>
          <w:rFonts w:ascii="Times New Roman" w:eastAsia="方正仿宋_GBK"/>
          <w:color w:val="auto"/>
          <w:spacing w:val="0"/>
          <w:sz w:val="32"/>
          <w:szCs w:val="32"/>
        </w:rPr>
        <w:t>、</w:t>
      </w:r>
      <w:r>
        <w:rPr>
          <w:rFonts w:ascii="Times New Roman" w:hAnsi="Times New Roman" w:eastAsia="方正仿宋_GBK"/>
          <w:color w:val="auto"/>
          <w:spacing w:val="0"/>
          <w:sz w:val="32"/>
          <w:szCs w:val="32"/>
        </w:rPr>
        <w:t>20%</w:t>
      </w:r>
      <w:r>
        <w:rPr>
          <w:rFonts w:ascii="Times New Roman" w:eastAsia="方正仿宋_GBK"/>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第五条</w:t>
      </w:r>
      <w:r>
        <w:rPr>
          <w:rFonts w:ascii="Times New Roman" w:hAnsi="Times New Roman" w:eastAsia="方正仿宋_GBK"/>
          <w:b/>
          <w:bCs/>
          <w:color w:val="auto"/>
          <w:spacing w:val="0"/>
          <w:sz w:val="32"/>
          <w:szCs w:val="32"/>
        </w:rPr>
        <w:t xml:space="preserve"> </w:t>
      </w:r>
      <w:r>
        <w:rPr>
          <w:rFonts w:ascii="Times New Roman" w:eastAsia="方正仿宋_GBK"/>
          <w:color w:val="auto"/>
          <w:spacing w:val="0"/>
          <w:sz w:val="32"/>
          <w:szCs w:val="32"/>
        </w:rPr>
        <w:t>企业负责人薪酬总额基数坚持</w:t>
      </w:r>
      <w:r>
        <w:rPr>
          <w:rFonts w:ascii="Times New Roman" w:hAnsi="Times New Roman" w:eastAsia="方正仿宋_GBK"/>
          <w:color w:val="auto"/>
          <w:spacing w:val="0"/>
          <w:sz w:val="32"/>
          <w:szCs w:val="32"/>
        </w:rPr>
        <w:t>“</w:t>
      </w:r>
      <w:r>
        <w:rPr>
          <w:rFonts w:ascii="Times New Roman" w:eastAsia="方正仿宋_GBK"/>
          <w:color w:val="auto"/>
          <w:spacing w:val="0"/>
          <w:sz w:val="32"/>
          <w:szCs w:val="32"/>
        </w:rPr>
        <w:t>尊重历史、面向市场、有效激励、逐步过渡</w:t>
      </w:r>
      <w:r>
        <w:rPr>
          <w:rFonts w:ascii="Times New Roman" w:hAnsi="Times New Roman" w:eastAsia="方正仿宋_GBK"/>
          <w:color w:val="auto"/>
          <w:spacing w:val="0"/>
          <w:sz w:val="32"/>
          <w:szCs w:val="32"/>
        </w:rPr>
        <w:t>”</w:t>
      </w:r>
      <w:r>
        <w:rPr>
          <w:rFonts w:ascii="Times New Roman" w:eastAsia="方正仿宋_GBK"/>
          <w:color w:val="auto"/>
          <w:spacing w:val="0"/>
          <w:sz w:val="32"/>
          <w:szCs w:val="32"/>
        </w:rPr>
        <w:t>的原则，</w:t>
      </w:r>
      <w:r>
        <w:rPr>
          <w:rFonts w:hint="eastAsia" w:ascii="Times New Roman" w:eastAsia="方正仿宋_GBK"/>
          <w:color w:val="auto"/>
          <w:spacing w:val="0"/>
          <w:sz w:val="32"/>
          <w:szCs w:val="32"/>
        </w:rPr>
        <w:t>按照</w:t>
      </w:r>
      <w:r>
        <w:rPr>
          <w:rFonts w:ascii="Times New Roman" w:eastAsia="方正仿宋_GBK"/>
          <w:color w:val="auto"/>
          <w:spacing w:val="0"/>
          <w:sz w:val="32"/>
          <w:szCs w:val="32"/>
        </w:rPr>
        <w:t>不超过全州上年度在岗职工平均工资的</w:t>
      </w:r>
      <w:r>
        <w:rPr>
          <w:rFonts w:hint="eastAsia" w:ascii="Times New Roman" w:eastAsia="方正仿宋_GBK"/>
          <w:color w:val="auto"/>
          <w:spacing w:val="0"/>
          <w:sz w:val="32"/>
          <w:szCs w:val="32"/>
        </w:rPr>
        <w:t>4.</w:t>
      </w:r>
      <w:r>
        <w:rPr>
          <w:rFonts w:ascii="Times New Roman" w:hAnsi="Times New Roman" w:eastAsia="方正仿宋_GBK"/>
          <w:color w:val="auto"/>
          <w:spacing w:val="0"/>
          <w:sz w:val="32"/>
          <w:szCs w:val="32"/>
        </w:rPr>
        <w:t>5</w:t>
      </w:r>
      <w:r>
        <w:rPr>
          <w:rFonts w:ascii="Times New Roman" w:eastAsia="方正仿宋_GBK"/>
          <w:color w:val="auto"/>
          <w:spacing w:val="0"/>
          <w:sz w:val="32"/>
          <w:szCs w:val="32"/>
        </w:rPr>
        <w:t>倍设定，经县国资委报县深化国有企业负责人薪酬制度改革领导小组批准后执行。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第六条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企业主要负责人和其他负责人薪酬按岗位确定系数，企业领导人员正职的薪酬系数为</w:t>
      </w:r>
      <w:r>
        <w:rPr>
          <w:rFonts w:ascii="Times New Roman" w:hAnsi="Times New Roman" w:eastAsia="方正仿宋_GBK"/>
          <w:color w:val="auto"/>
          <w:spacing w:val="0"/>
          <w:sz w:val="32"/>
          <w:szCs w:val="32"/>
        </w:rPr>
        <w:t>1</w:t>
      </w:r>
      <w:r>
        <w:rPr>
          <w:rFonts w:ascii="Times New Roman" w:eastAsia="方正仿宋_GBK"/>
          <w:color w:val="auto"/>
          <w:spacing w:val="0"/>
          <w:sz w:val="32"/>
          <w:szCs w:val="32"/>
        </w:rPr>
        <w:t>，企业领导人员副职薪酬系数由企业根据各自的岗位职责、承担风险、贡献大小及内部绩效考核等情况在</w:t>
      </w:r>
      <w:r>
        <w:rPr>
          <w:rFonts w:ascii="Times New Roman" w:hAnsi="Times New Roman" w:eastAsia="方正仿宋_GBK"/>
          <w:color w:val="auto"/>
          <w:spacing w:val="0"/>
          <w:sz w:val="32"/>
          <w:szCs w:val="32"/>
        </w:rPr>
        <w:t>0.6</w:t>
      </w:r>
      <w:r>
        <w:rPr>
          <w:rFonts w:hint="eastAsia" w:ascii="Times New Roman" w:hAnsi="Times New Roman" w:eastAsia="方正仿宋_GBK"/>
          <w:color w:val="auto"/>
          <w:spacing w:val="0"/>
          <w:sz w:val="32"/>
          <w:szCs w:val="32"/>
        </w:rPr>
        <w:t>—</w:t>
      </w:r>
      <w:r>
        <w:rPr>
          <w:rFonts w:ascii="Times New Roman" w:hAnsi="Times New Roman" w:eastAsia="方正仿宋_GBK"/>
          <w:color w:val="auto"/>
          <w:spacing w:val="0"/>
          <w:sz w:val="32"/>
          <w:szCs w:val="32"/>
        </w:rPr>
        <w:t>0.9</w:t>
      </w:r>
      <w:r>
        <w:rPr>
          <w:rFonts w:ascii="Times New Roman" w:eastAsia="方正仿宋_GBK"/>
          <w:color w:val="auto"/>
          <w:spacing w:val="0"/>
          <w:sz w:val="32"/>
          <w:szCs w:val="32"/>
        </w:rPr>
        <w:t>之间确定，具体分配系数报县国资委审核后确定。企业确定其他负责人薪酬系数时，应适当拉开相互之间的薪酬差距，原则上不得少于</w:t>
      </w:r>
      <w:r>
        <w:rPr>
          <w:rFonts w:ascii="Times New Roman" w:hAnsi="Times New Roman" w:eastAsia="方正仿宋_GBK"/>
          <w:color w:val="auto"/>
          <w:spacing w:val="0"/>
          <w:sz w:val="32"/>
          <w:szCs w:val="32"/>
        </w:rPr>
        <w:t>2</w:t>
      </w:r>
      <w:r>
        <w:rPr>
          <w:rFonts w:ascii="Times New Roman" w:eastAsia="方正仿宋_GBK"/>
          <w:color w:val="auto"/>
          <w:spacing w:val="0"/>
          <w:sz w:val="32"/>
          <w:szCs w:val="32"/>
        </w:rPr>
        <w:t>个档次。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第七条</w:t>
      </w:r>
      <w:r>
        <w:rPr>
          <w:rFonts w:ascii="Times New Roman" w:hAnsi="Times New Roman" w:eastAsia="方正仿宋_GBK"/>
          <w:b/>
          <w:bCs/>
          <w:color w:val="auto"/>
          <w:spacing w:val="0"/>
          <w:sz w:val="32"/>
          <w:szCs w:val="32"/>
        </w:rPr>
        <w:t xml:space="preserve"> </w:t>
      </w:r>
      <w:r>
        <w:rPr>
          <w:rFonts w:ascii="Times New Roman" w:eastAsia="方正仿宋_GBK"/>
          <w:color w:val="auto"/>
          <w:spacing w:val="0"/>
          <w:sz w:val="32"/>
          <w:szCs w:val="32"/>
        </w:rPr>
        <w:t>企业负责人的基本薪金确定后，年度内不因清产核资、减员增效、改革改制、产权转让、资产划拨、重组等因素进行调整。绩效薪金和任期激励收入与经营业绩考核结果挂钩。年度经营业绩与任期经营业绩考核</w:t>
      </w:r>
      <w:r>
        <w:rPr>
          <w:rFonts w:hint="eastAsia" w:ascii="Times New Roman" w:eastAsia="方正仿宋_GBK"/>
          <w:color w:val="auto"/>
          <w:spacing w:val="0"/>
          <w:sz w:val="32"/>
          <w:szCs w:val="32"/>
        </w:rPr>
        <w:t>按照《</w:t>
      </w:r>
      <w:r>
        <w:rPr>
          <w:rFonts w:ascii="Times New Roman" w:eastAsia="方正仿宋_GBK"/>
          <w:color w:val="auto"/>
          <w:spacing w:val="0"/>
          <w:sz w:val="32"/>
          <w:szCs w:val="32"/>
        </w:rPr>
        <w:t>陇川县县</w:t>
      </w:r>
      <w:r>
        <w:rPr>
          <w:rFonts w:hint="eastAsia" w:ascii="Times New Roman" w:eastAsia="方正仿宋_GBK"/>
          <w:color w:val="auto"/>
          <w:spacing w:val="0"/>
          <w:sz w:val="32"/>
          <w:szCs w:val="32"/>
          <w:lang w:val="en-US" w:eastAsia="zh-CN"/>
        </w:rPr>
        <w:t>管</w:t>
      </w:r>
      <w:r>
        <w:rPr>
          <w:rFonts w:ascii="Times New Roman" w:eastAsia="方正仿宋_GBK"/>
          <w:color w:val="auto"/>
          <w:spacing w:val="0"/>
          <w:sz w:val="32"/>
          <w:szCs w:val="32"/>
        </w:rPr>
        <w:t>企业负责人经营管理业绩考核办法（试行）</w:t>
      </w:r>
      <w:r>
        <w:rPr>
          <w:rFonts w:hint="eastAsia" w:ascii="Times New Roman" w:eastAsia="方正仿宋_GBK"/>
          <w:color w:val="auto"/>
          <w:spacing w:val="0"/>
          <w:sz w:val="32"/>
          <w:szCs w:val="32"/>
        </w:rPr>
        <w:t>》</w:t>
      </w:r>
      <w:r>
        <w:rPr>
          <w:rFonts w:ascii="Times New Roman" w:eastAsia="方正仿宋_GBK"/>
          <w:color w:val="auto"/>
          <w:spacing w:val="0"/>
          <w:sz w:val="32"/>
          <w:szCs w:val="32"/>
        </w:rPr>
        <w:t>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第八条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企业负责人基本薪金由企业按月支付。在年度薪酬总额未核定前，暂按上年标准预发，核定后多退少补。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第九条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企业负责人绩效薪金按先考核后兑现的原则，根据年度经营业绩考核结果，一次性兑现。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color w:val="auto"/>
          <w:spacing w:val="0"/>
          <w:sz w:val="32"/>
          <w:szCs w:val="32"/>
        </w:rPr>
        <w:t>企业负责人年度经营业绩考核结果为</w:t>
      </w:r>
      <w:r>
        <w:rPr>
          <w:rFonts w:ascii="Times New Roman" w:hAnsi="Times New Roman" w:eastAsia="方正仿宋_GBK"/>
          <w:color w:val="auto"/>
          <w:spacing w:val="0"/>
          <w:sz w:val="32"/>
          <w:szCs w:val="32"/>
        </w:rPr>
        <w:t>A</w:t>
      </w:r>
      <w:r>
        <w:rPr>
          <w:rFonts w:ascii="Times New Roman" w:eastAsia="方正仿宋_GBK"/>
          <w:color w:val="auto"/>
          <w:spacing w:val="0"/>
          <w:sz w:val="32"/>
          <w:szCs w:val="32"/>
        </w:rPr>
        <w:t>级的，除兑现年度绩效薪金外，再给予年度绩效薪金</w:t>
      </w:r>
      <w:r>
        <w:rPr>
          <w:rFonts w:ascii="Times New Roman" w:hAnsi="Times New Roman" w:eastAsia="方正仿宋_GBK"/>
          <w:color w:val="auto"/>
          <w:spacing w:val="0"/>
          <w:sz w:val="32"/>
          <w:szCs w:val="32"/>
        </w:rPr>
        <w:t>100%</w:t>
      </w:r>
      <w:r>
        <w:rPr>
          <w:rFonts w:ascii="Times New Roman" w:eastAsia="方正仿宋_GBK"/>
          <w:color w:val="auto"/>
          <w:spacing w:val="0"/>
          <w:sz w:val="32"/>
          <w:szCs w:val="32"/>
        </w:rPr>
        <w:t>的奖励；考核结果为</w:t>
      </w:r>
      <w:r>
        <w:rPr>
          <w:rFonts w:ascii="Times New Roman" w:hAnsi="Times New Roman" w:eastAsia="方正仿宋_GBK"/>
          <w:color w:val="auto"/>
          <w:spacing w:val="0"/>
          <w:sz w:val="32"/>
          <w:szCs w:val="32"/>
        </w:rPr>
        <w:t>B</w:t>
      </w:r>
      <w:r>
        <w:rPr>
          <w:rFonts w:ascii="Times New Roman" w:eastAsia="方正仿宋_GBK"/>
          <w:color w:val="auto"/>
          <w:spacing w:val="0"/>
          <w:sz w:val="32"/>
          <w:szCs w:val="32"/>
        </w:rPr>
        <w:t>级的，除兑现年度绩效薪金外，再给予年度绩效薪金</w:t>
      </w:r>
      <w:r>
        <w:rPr>
          <w:rFonts w:ascii="Times New Roman" w:hAnsi="Times New Roman" w:eastAsia="方正仿宋_GBK"/>
          <w:color w:val="auto"/>
          <w:spacing w:val="0"/>
          <w:sz w:val="32"/>
          <w:szCs w:val="32"/>
        </w:rPr>
        <w:t>50%</w:t>
      </w:r>
      <w:r>
        <w:rPr>
          <w:rFonts w:ascii="Times New Roman" w:eastAsia="方正仿宋_GBK"/>
          <w:color w:val="auto"/>
          <w:spacing w:val="0"/>
          <w:sz w:val="32"/>
          <w:szCs w:val="32"/>
        </w:rPr>
        <w:t>的奖励；考核结果为</w:t>
      </w:r>
      <w:r>
        <w:rPr>
          <w:rFonts w:ascii="Times New Roman" w:hAnsi="Times New Roman" w:eastAsia="方正仿宋_GBK"/>
          <w:color w:val="auto"/>
          <w:spacing w:val="0"/>
          <w:sz w:val="32"/>
          <w:szCs w:val="32"/>
        </w:rPr>
        <w:t>C</w:t>
      </w:r>
      <w:r>
        <w:rPr>
          <w:rFonts w:ascii="Times New Roman" w:eastAsia="方正仿宋_GBK"/>
          <w:color w:val="auto"/>
          <w:spacing w:val="0"/>
          <w:sz w:val="32"/>
          <w:szCs w:val="32"/>
        </w:rPr>
        <w:t>级的，兑现年度绩效薪金；考核结果为</w:t>
      </w:r>
      <w:r>
        <w:rPr>
          <w:rFonts w:ascii="Times New Roman" w:hAnsi="Times New Roman" w:eastAsia="方正仿宋_GBK"/>
          <w:color w:val="auto"/>
          <w:spacing w:val="0"/>
          <w:sz w:val="32"/>
          <w:szCs w:val="32"/>
        </w:rPr>
        <w:t>D</w:t>
      </w:r>
      <w:r>
        <w:rPr>
          <w:rFonts w:ascii="Times New Roman" w:eastAsia="方正仿宋_GBK"/>
          <w:color w:val="auto"/>
          <w:spacing w:val="0"/>
          <w:sz w:val="32"/>
          <w:szCs w:val="32"/>
        </w:rPr>
        <w:t>级的，兑现年度绩效薪金的</w:t>
      </w:r>
      <w:r>
        <w:rPr>
          <w:rFonts w:ascii="Times New Roman" w:hAnsi="Times New Roman" w:eastAsia="方正仿宋_GBK"/>
          <w:color w:val="auto"/>
          <w:spacing w:val="0"/>
          <w:sz w:val="32"/>
          <w:szCs w:val="32"/>
        </w:rPr>
        <w:t>50%</w:t>
      </w:r>
      <w:r>
        <w:rPr>
          <w:rFonts w:ascii="Times New Roman" w:eastAsia="方正仿宋_GBK"/>
          <w:color w:val="auto"/>
          <w:spacing w:val="0"/>
          <w:sz w:val="32"/>
          <w:szCs w:val="32"/>
        </w:rPr>
        <w:t>；考核结果为</w:t>
      </w:r>
      <w:r>
        <w:rPr>
          <w:rFonts w:ascii="Times New Roman" w:hAnsi="Times New Roman" w:eastAsia="方正仿宋_GBK"/>
          <w:color w:val="auto"/>
          <w:spacing w:val="0"/>
          <w:sz w:val="32"/>
          <w:szCs w:val="32"/>
        </w:rPr>
        <w:t>E</w:t>
      </w:r>
      <w:r>
        <w:rPr>
          <w:rFonts w:ascii="Times New Roman" w:eastAsia="方正仿宋_GBK"/>
          <w:color w:val="auto"/>
          <w:spacing w:val="0"/>
          <w:sz w:val="32"/>
          <w:szCs w:val="32"/>
        </w:rPr>
        <w:t>级的，不予兑现年度绩效薪金。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第十条</w:t>
      </w:r>
      <w:r>
        <w:rPr>
          <w:rFonts w:ascii="Times New Roman" w:hAnsi="Times New Roman" w:eastAsia="方正仿宋_GBK"/>
          <w:color w:val="auto"/>
          <w:spacing w:val="0"/>
          <w:sz w:val="32"/>
          <w:szCs w:val="32"/>
        </w:rPr>
        <w:t xml:space="preserve"> </w:t>
      </w:r>
      <w:r>
        <w:rPr>
          <w:rFonts w:ascii="Times New Roman" w:eastAsia="方正仿宋_GBK"/>
          <w:color w:val="auto"/>
          <w:spacing w:val="-6"/>
          <w:sz w:val="32"/>
          <w:szCs w:val="32"/>
        </w:rPr>
        <w:t>企业负责人任期激励收入在</w:t>
      </w:r>
      <w:r>
        <w:rPr>
          <w:rFonts w:ascii="Times New Roman" w:hAnsi="Times New Roman" w:eastAsia="方正仿宋_GBK"/>
          <w:color w:val="auto"/>
          <w:spacing w:val="-6"/>
          <w:sz w:val="32"/>
          <w:szCs w:val="32"/>
        </w:rPr>
        <w:t>3</w:t>
      </w:r>
      <w:r>
        <w:rPr>
          <w:rFonts w:ascii="Times New Roman" w:eastAsia="方正仿宋_GBK"/>
          <w:color w:val="auto"/>
          <w:spacing w:val="-6"/>
          <w:sz w:val="32"/>
          <w:szCs w:val="32"/>
        </w:rPr>
        <w:t>年任期考核结束后兑现。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企业负责人任期经营业绩考核结果为A级的，兑现任期激励收入的100%；考核结果为B级的，兑现任期激励收入的90%；考核结果为C级的，兑现任期激励收入的70%；考核结果为D级的，兑现任期激励收入的50%；考核结果为E级的，不予兑现任期激励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imes New Roman" w:hAnsi="Times New Roman" w:eastAsia="方正黑体_GBK"/>
          <w:color w:val="auto"/>
          <w:spacing w:val="0"/>
          <w:sz w:val="32"/>
          <w:szCs w:val="32"/>
        </w:rPr>
      </w:pPr>
      <w:r>
        <w:rPr>
          <w:rFonts w:ascii="Times New Roman" w:eastAsia="方正黑体_GBK"/>
          <w:color w:val="auto"/>
          <w:spacing w:val="0"/>
          <w:sz w:val="32"/>
          <w:szCs w:val="32"/>
        </w:rPr>
        <w:t>第三章</w:t>
      </w:r>
      <w:r>
        <w:rPr>
          <w:rFonts w:ascii="Times New Roman" w:hAnsi="Times New Roman" w:eastAsia="方正黑体_GBK"/>
          <w:color w:val="auto"/>
          <w:spacing w:val="0"/>
          <w:sz w:val="32"/>
          <w:szCs w:val="32"/>
        </w:rPr>
        <w:t xml:space="preserve">  </w:t>
      </w:r>
      <w:r>
        <w:rPr>
          <w:rFonts w:ascii="Times New Roman" w:eastAsia="方正黑体_GBK"/>
          <w:color w:val="auto"/>
          <w:spacing w:val="0"/>
          <w:sz w:val="32"/>
          <w:szCs w:val="32"/>
        </w:rPr>
        <w:t>薪酬的管理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第十一条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企业负责人的薪酬由企业设置明细账，单独核算。经批准的企业负责人薪酬纳入企业工资总额管理并在企业工资总额中单列。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第十二条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企业负责人薪酬方案及实施结果应由企业在适当范围内予以公布，接受民主监督。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第十三条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企业负责人福利保障与监督等事项在本规定中未作明确的另行规定执行。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第十四条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市场化选聘高级管理人员的薪酬结构和水平，由县管企业董事会按照市场化薪酬分配机制，参照行业同等水平，结合所任职单位实际，形成建议方案，报县国资委及县深化国有企业负责人薪酬制度改革领导小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imes New Roman" w:hAnsi="Times New Roman" w:eastAsia="方正黑体_GBK"/>
          <w:color w:val="auto"/>
          <w:spacing w:val="0"/>
          <w:sz w:val="32"/>
          <w:szCs w:val="32"/>
        </w:rPr>
      </w:pPr>
      <w:r>
        <w:rPr>
          <w:rFonts w:ascii="Times New Roman" w:eastAsia="方正黑体_GBK"/>
          <w:color w:val="auto"/>
          <w:spacing w:val="0"/>
          <w:sz w:val="32"/>
          <w:szCs w:val="32"/>
        </w:rPr>
        <w:t>第四章</w:t>
      </w:r>
      <w:r>
        <w:rPr>
          <w:rFonts w:ascii="Times New Roman" w:hAnsi="Times New Roman" w:eastAsia="方正黑体_GBK"/>
          <w:color w:val="auto"/>
          <w:spacing w:val="0"/>
          <w:sz w:val="32"/>
          <w:szCs w:val="32"/>
        </w:rPr>
        <w:t xml:space="preserve">  </w:t>
      </w:r>
      <w:r>
        <w:rPr>
          <w:rFonts w:ascii="Times New Roman" w:eastAsia="方正黑体_GBK"/>
          <w:color w:val="auto"/>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第十五条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企业负责人社会保险费、住房公积金按国家、省、州、县</w:t>
      </w:r>
      <w:r>
        <w:rPr>
          <w:rFonts w:hint="eastAsia" w:ascii="Times New Roman" w:eastAsia="方正仿宋_GBK"/>
          <w:color w:val="auto"/>
          <w:spacing w:val="0"/>
          <w:sz w:val="32"/>
          <w:szCs w:val="32"/>
        </w:rPr>
        <w:t>有</w:t>
      </w:r>
      <w:r>
        <w:rPr>
          <w:rFonts w:ascii="Times New Roman" w:eastAsia="方正仿宋_GBK"/>
          <w:color w:val="auto"/>
          <w:spacing w:val="0"/>
          <w:sz w:val="32"/>
          <w:szCs w:val="32"/>
        </w:rPr>
        <w:t>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第十六条</w:t>
      </w:r>
      <w:r>
        <w:rPr>
          <w:rFonts w:ascii="Times New Roman" w:hAnsi="Times New Roman" w:eastAsia="方正仿宋_GBK"/>
          <w:color w:val="auto"/>
          <w:spacing w:val="0"/>
          <w:sz w:val="32"/>
          <w:szCs w:val="32"/>
        </w:rPr>
        <w:t xml:space="preserve"> </w:t>
      </w:r>
      <w:r>
        <w:rPr>
          <w:rFonts w:ascii="Times New Roman" w:eastAsia="方正仿宋_GBK"/>
          <w:color w:val="auto"/>
          <w:spacing w:val="0"/>
          <w:sz w:val="32"/>
          <w:szCs w:val="32"/>
        </w:rPr>
        <w:t>本办法规定与我县此前制定的有关政策不一致的，按本办法执行。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第十七条</w:t>
      </w:r>
      <w:r>
        <w:rPr>
          <w:rFonts w:ascii="Times New Roman" w:hAnsi="Times New Roman" w:eastAsia="方正仿宋_GBK"/>
          <w:color w:val="auto"/>
          <w:spacing w:val="0"/>
          <w:sz w:val="32"/>
          <w:szCs w:val="32"/>
          <w:highlight w:val="none"/>
        </w:rPr>
        <w:t xml:space="preserve"> </w:t>
      </w:r>
      <w:r>
        <w:rPr>
          <w:rFonts w:eastAsia="方正仿宋_GBK"/>
          <w:color w:val="auto"/>
          <w:spacing w:val="0"/>
          <w:sz w:val="32"/>
          <w:szCs w:val="32"/>
        </w:rPr>
        <w:t>本办法自印发之日起施行</w:t>
      </w:r>
      <w:r>
        <w:rPr>
          <w:rFonts w:ascii="Times New Roman" w:eastAsia="方正仿宋_GBK"/>
          <w:color w:val="auto"/>
          <w:spacing w:val="0"/>
          <w:sz w:val="32"/>
          <w:szCs w:val="32"/>
          <w:highlight w:val="none"/>
        </w:rPr>
        <w:t>，</w:t>
      </w:r>
      <w:r>
        <w:rPr>
          <w:rFonts w:ascii="Times New Roman" w:eastAsia="方正仿宋_GBK"/>
          <w:color w:val="auto"/>
          <w:spacing w:val="0"/>
          <w:sz w:val="32"/>
          <w:szCs w:val="32"/>
        </w:rPr>
        <w:t>由县国资委负责解释。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B2755"/>
    <w:rsid w:val="3FEB27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napToGrid/>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2021-04-13T00:13:00Z</dcterms:created>
  <dc:creator>康中云</dc:creator>
  <cp:lastModifiedBy>康中云</cp:lastModifiedBy>
  <dcterms:modified xsi:type="dcterms:W3CDTF">2021-04-13T00:14:22Z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