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D47" w:rsidRPr="00923D47" w:rsidRDefault="00923D47" w:rsidP="00923D47">
      <w:pPr>
        <w:widowControl/>
        <w:shd w:val="clear" w:color="auto" w:fill="FFFFFF"/>
        <w:spacing w:line="450" w:lineRule="atLeast"/>
        <w:jc w:val="center"/>
        <w:rPr>
          <w:rFonts w:ascii="宋体" w:eastAsia="宋体" w:hAnsi="宋体" w:cs="宋体"/>
          <w:color w:val="333333"/>
          <w:kern w:val="0"/>
          <w:sz w:val="24"/>
          <w:szCs w:val="24"/>
        </w:rPr>
      </w:pPr>
      <w:r w:rsidRPr="00923D47">
        <w:rPr>
          <w:rFonts w:ascii="宋体" w:eastAsia="宋体" w:hAnsi="宋体" w:cs="宋体" w:hint="eastAsia"/>
          <w:b/>
          <w:bCs/>
          <w:color w:val="333399"/>
          <w:kern w:val="0"/>
          <w:sz w:val="24"/>
          <w:szCs w:val="24"/>
        </w:rPr>
        <w:t>关于印发财政预决算领域基层政务公开标准指引的通知</w:t>
      </w:r>
      <w:r w:rsidRPr="00923D47">
        <w:rPr>
          <w:rFonts w:ascii="宋体" w:eastAsia="宋体" w:hAnsi="宋体" w:cs="宋体" w:hint="eastAsia"/>
          <w:color w:val="333399"/>
          <w:kern w:val="0"/>
          <w:sz w:val="24"/>
          <w:szCs w:val="24"/>
        </w:rPr>
        <w:br/>
      </w:r>
      <w:r w:rsidRPr="00923D47">
        <w:rPr>
          <w:rFonts w:ascii="楷体" w:eastAsia="楷体" w:hAnsi="楷体" w:cs="宋体" w:hint="eastAsia"/>
          <w:color w:val="333399"/>
          <w:kern w:val="0"/>
          <w:sz w:val="24"/>
          <w:szCs w:val="24"/>
        </w:rPr>
        <w:t>财办发〔2019〕77号</w:t>
      </w:r>
    </w:p>
    <w:p w:rsidR="00923D47" w:rsidRPr="00923D47" w:rsidRDefault="00923D47" w:rsidP="00923D47">
      <w:pPr>
        <w:widowControl/>
        <w:shd w:val="clear" w:color="auto" w:fill="FFFFFF"/>
        <w:spacing w:before="225" w:line="450" w:lineRule="atLeast"/>
        <w:jc w:val="left"/>
        <w:rPr>
          <w:rFonts w:ascii="宋体" w:eastAsia="宋体" w:hAnsi="宋体" w:cs="宋体" w:hint="eastAsia"/>
          <w:color w:val="333333"/>
          <w:kern w:val="0"/>
          <w:sz w:val="24"/>
          <w:szCs w:val="24"/>
        </w:rPr>
      </w:pPr>
      <w:r w:rsidRPr="00923D47">
        <w:rPr>
          <w:rFonts w:ascii="宋体" w:eastAsia="宋体" w:hAnsi="宋体" w:cs="宋体" w:hint="eastAsia"/>
          <w:color w:val="333333"/>
          <w:kern w:val="0"/>
          <w:sz w:val="24"/>
          <w:szCs w:val="24"/>
        </w:rPr>
        <w:t>各省、自治区、直辖市、计划单列市财政厅（局），新疆生产建设兵团财政局：</w:t>
      </w:r>
    </w:p>
    <w:p w:rsidR="00923D47" w:rsidRPr="00923D47" w:rsidRDefault="00923D47" w:rsidP="00923D47">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923D47">
        <w:rPr>
          <w:rFonts w:ascii="宋体" w:eastAsia="宋体" w:hAnsi="宋体" w:cs="宋体" w:hint="eastAsia"/>
          <w:color w:val="333333"/>
          <w:kern w:val="0"/>
          <w:sz w:val="24"/>
          <w:szCs w:val="24"/>
        </w:rPr>
        <w:t>按照《国务院办公厅关于印发开展基层政务公开标准化规范化试点工作方案的通知》（国办发〔2017〕42号）和全国政务公开领导小组第一次会议的有关部署，为进一步推动财政预决算领域基层政务公开标准化规范化，根据《中华人民共和国预算法》《中华人民共和国政府信息公开条例》和《地方预决算公开操作规程》（财预〔2016〕143号）、《财政部关于印发&lt;地方政府债务信息公开办法（试行）&gt;的通知》（财预〔2018〕209号）等规定，财政部办公厅组织编制了《财政预决算领域基层政务公开标准目录》（见附件，以下简称标准目录）。为切实做好有关工作，现将有关事项通知如下：</w:t>
      </w:r>
    </w:p>
    <w:p w:rsidR="00923D47" w:rsidRPr="00923D47" w:rsidRDefault="00923D47" w:rsidP="00923D47">
      <w:pPr>
        <w:widowControl/>
        <w:shd w:val="clear" w:color="auto" w:fill="FFFFFF"/>
        <w:spacing w:line="450" w:lineRule="atLeast"/>
        <w:ind w:firstLine="480"/>
        <w:jc w:val="left"/>
        <w:rPr>
          <w:rFonts w:ascii="宋体" w:eastAsia="宋体" w:hAnsi="宋体" w:cs="宋体" w:hint="eastAsia"/>
          <w:color w:val="333333"/>
          <w:kern w:val="0"/>
          <w:sz w:val="24"/>
          <w:szCs w:val="24"/>
        </w:rPr>
      </w:pPr>
      <w:r w:rsidRPr="00923D47">
        <w:rPr>
          <w:rFonts w:ascii="宋体" w:eastAsia="宋体" w:hAnsi="宋体" w:cs="宋体" w:hint="eastAsia"/>
          <w:b/>
          <w:bCs/>
          <w:color w:val="333333"/>
          <w:kern w:val="0"/>
          <w:sz w:val="24"/>
          <w:szCs w:val="24"/>
        </w:rPr>
        <w:t>一、加强组织领导</w:t>
      </w:r>
    </w:p>
    <w:p w:rsidR="00923D47" w:rsidRPr="00923D47" w:rsidRDefault="00923D47" w:rsidP="00923D47">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923D47">
        <w:rPr>
          <w:rFonts w:ascii="宋体" w:eastAsia="宋体" w:hAnsi="宋体" w:cs="宋体" w:hint="eastAsia"/>
          <w:color w:val="333333"/>
          <w:kern w:val="0"/>
          <w:sz w:val="24"/>
          <w:szCs w:val="24"/>
        </w:rPr>
        <w:t>预决算公开是贯彻落实党的十九大关于建立全面规范透明、标准科学、约束有力的预算制度部署的重要举措，是预算管理制度改革的核心要求，是实现国家治理体系和治理能力现代化的重要推动力。地方各级财政部门、各预算部门要认真落实党中央、国务院关于财政预决算公开的决策部署，加强组织领导，切实做好有关工作。地方各级财政部门在本级政府信息公开工作主管部门领导下，组织开展本地区政府预决算公开工作，制定本地区预决算公开的规定，负责向社会公开政府预决算；指导和督促本级各预算部门和下级财政部门预决算公开工作，向本级政府信息公开工作主管部门和上一级政府财政部门报告本地区预决算公开情况。地方各级预算部门在本级政府信息公开工作主管部门领导下，组织开展本部门预决算公开工作，制定本部门预决算公开的规定，负责向社会公开本部门预决算，向本级政府信息公开工作主管部门和本级政府财政部门报告本部门预决算公开情况。</w:t>
      </w:r>
    </w:p>
    <w:p w:rsidR="00923D47" w:rsidRPr="00923D47" w:rsidRDefault="00923D47" w:rsidP="00923D47">
      <w:pPr>
        <w:widowControl/>
        <w:shd w:val="clear" w:color="auto" w:fill="FFFFFF"/>
        <w:spacing w:line="450" w:lineRule="atLeast"/>
        <w:ind w:firstLine="480"/>
        <w:jc w:val="left"/>
        <w:rPr>
          <w:rFonts w:ascii="宋体" w:eastAsia="宋体" w:hAnsi="宋体" w:cs="宋体" w:hint="eastAsia"/>
          <w:color w:val="333333"/>
          <w:kern w:val="0"/>
          <w:sz w:val="24"/>
          <w:szCs w:val="24"/>
        </w:rPr>
      </w:pPr>
      <w:r w:rsidRPr="00923D47">
        <w:rPr>
          <w:rFonts w:ascii="宋体" w:eastAsia="宋体" w:hAnsi="宋体" w:cs="宋体" w:hint="eastAsia"/>
          <w:b/>
          <w:bCs/>
          <w:color w:val="333333"/>
          <w:kern w:val="0"/>
          <w:sz w:val="24"/>
          <w:szCs w:val="24"/>
        </w:rPr>
        <w:t>二、公开事项及标准目录</w:t>
      </w:r>
    </w:p>
    <w:p w:rsidR="00923D47" w:rsidRPr="00923D47" w:rsidRDefault="00923D47" w:rsidP="00923D47">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923D47">
        <w:rPr>
          <w:rFonts w:ascii="宋体" w:eastAsia="宋体" w:hAnsi="宋体" w:cs="宋体" w:hint="eastAsia"/>
          <w:color w:val="333333"/>
          <w:kern w:val="0"/>
          <w:sz w:val="24"/>
          <w:szCs w:val="24"/>
        </w:rPr>
        <w:t>（一）公开事项。财政预决算领域基层政务公开二级事项分为四大类，包括政府预算、政府决算、部门预算（含政府采购事项）、部门决算（含政府采购事项）。</w:t>
      </w:r>
    </w:p>
    <w:p w:rsidR="00923D47" w:rsidRPr="00923D47" w:rsidRDefault="00923D47" w:rsidP="00923D47">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923D47">
        <w:rPr>
          <w:rFonts w:ascii="宋体" w:eastAsia="宋体" w:hAnsi="宋体" w:cs="宋体" w:hint="eastAsia"/>
          <w:color w:val="333333"/>
          <w:kern w:val="0"/>
          <w:sz w:val="24"/>
          <w:szCs w:val="24"/>
        </w:rPr>
        <w:lastRenderedPageBreak/>
        <w:t>（二）标准目录。标准目录规定了各公开事项的公开内容（要素）及要求、公开依据、公开时限、公开主体、公开渠道和载体、公开对象、公开方式和公开层级。</w:t>
      </w:r>
    </w:p>
    <w:p w:rsidR="00923D47" w:rsidRPr="00923D47" w:rsidRDefault="00923D47" w:rsidP="00923D47">
      <w:pPr>
        <w:widowControl/>
        <w:shd w:val="clear" w:color="auto" w:fill="FFFFFF"/>
        <w:spacing w:line="450" w:lineRule="atLeast"/>
        <w:ind w:firstLine="480"/>
        <w:jc w:val="left"/>
        <w:rPr>
          <w:rFonts w:ascii="宋体" w:eastAsia="宋体" w:hAnsi="宋体" w:cs="宋体" w:hint="eastAsia"/>
          <w:color w:val="333333"/>
          <w:kern w:val="0"/>
          <w:sz w:val="24"/>
          <w:szCs w:val="24"/>
        </w:rPr>
      </w:pPr>
      <w:r w:rsidRPr="00923D47">
        <w:rPr>
          <w:rFonts w:ascii="宋体" w:eastAsia="宋体" w:hAnsi="宋体" w:cs="宋体" w:hint="eastAsia"/>
          <w:b/>
          <w:bCs/>
          <w:color w:val="333333"/>
          <w:kern w:val="0"/>
          <w:sz w:val="24"/>
          <w:szCs w:val="24"/>
        </w:rPr>
        <w:t>三、具体工作要求</w:t>
      </w:r>
    </w:p>
    <w:p w:rsidR="00923D47" w:rsidRPr="00923D47" w:rsidRDefault="00923D47" w:rsidP="00923D47">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923D47">
        <w:rPr>
          <w:rFonts w:ascii="宋体" w:eastAsia="宋体" w:hAnsi="宋体" w:cs="宋体" w:hint="eastAsia"/>
          <w:color w:val="333333"/>
          <w:kern w:val="0"/>
          <w:sz w:val="24"/>
          <w:szCs w:val="24"/>
        </w:rPr>
        <w:t>（一）预决算公开的原则。以公开为常态，不公开为例外，依法依规公开预决算。除涉及国家秘密的信息外，不得少公开、不公开应当公开的事项，确保公开情况全面、真实、完整。通过公开进一步促进财政改革，促进财税政策落实，促进财政管理规范，促进政府效能提高。</w:t>
      </w:r>
    </w:p>
    <w:p w:rsidR="00923D47" w:rsidRPr="00923D47" w:rsidRDefault="00923D47" w:rsidP="00923D47">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923D47">
        <w:rPr>
          <w:rFonts w:ascii="宋体" w:eastAsia="宋体" w:hAnsi="宋体" w:cs="宋体" w:hint="eastAsia"/>
          <w:color w:val="333333"/>
          <w:kern w:val="0"/>
          <w:sz w:val="24"/>
          <w:szCs w:val="24"/>
        </w:rPr>
        <w:t>（二）预决算公开的时间。政府预决算应当在本级人民代表大会或其常务委员会批准后20日内向社会公开。部门预决算应当在本级政府财政部门批复后20日内向社会公开。鼓励公开时间适当提前，原则上在同一天集中公开。</w:t>
      </w:r>
    </w:p>
    <w:p w:rsidR="00923D47" w:rsidRPr="00923D47" w:rsidRDefault="00923D47" w:rsidP="00923D47">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923D47">
        <w:rPr>
          <w:rFonts w:ascii="宋体" w:eastAsia="宋体" w:hAnsi="宋体" w:cs="宋体" w:hint="eastAsia"/>
          <w:color w:val="333333"/>
          <w:kern w:val="0"/>
          <w:sz w:val="24"/>
          <w:szCs w:val="24"/>
        </w:rPr>
        <w:t>（三）预决算公开的方式。地方各级财政部门、各预算部门建有门户网站的，应当在门户网站公开预决算，并永久保留，其中当年预决算应当公开在网站醒目位置；没有门户网站的，应当采取措施在公开媒体公开预决算，并积极推动门户网站建设。地方各级财政部门应当在本级政府或财政部门门户网站设立预决算公开统一平台（或专栏），将政府预决算、部门预决算在平台（或专栏）集中公开。</w:t>
      </w:r>
    </w:p>
    <w:p w:rsidR="00923D47" w:rsidRPr="00923D47" w:rsidRDefault="00923D47" w:rsidP="00923D47">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923D47">
        <w:rPr>
          <w:rFonts w:ascii="宋体" w:eastAsia="宋体" w:hAnsi="宋体" w:cs="宋体" w:hint="eastAsia"/>
          <w:color w:val="333333"/>
          <w:kern w:val="0"/>
          <w:sz w:val="24"/>
          <w:szCs w:val="24"/>
        </w:rPr>
        <w:t>（四）涉密事项管理要求。地方各级财政部门、各预算部门应当建立健全预决算公开保密审查机制，严格依照《中华人民共和国保守国家秘密法》《中华人民共和国政府信息公开条例》等法律法规规定进行审查。其中，财政部门审查政府预决算中的涉密事项，预算部门审查部门预决算中的涉密事项。对经预算部门按保密审查机制确定的涉密内容，可按规定不予公开并由预算部门负责。</w:t>
      </w:r>
    </w:p>
    <w:p w:rsidR="00064352" w:rsidRDefault="00064352"/>
    <w:sectPr w:rsidR="0006435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4352" w:rsidRDefault="00064352" w:rsidP="00923D47">
      <w:r>
        <w:separator/>
      </w:r>
    </w:p>
  </w:endnote>
  <w:endnote w:type="continuationSeparator" w:id="1">
    <w:p w:rsidR="00064352" w:rsidRDefault="00064352" w:rsidP="00923D4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4352" w:rsidRDefault="00064352" w:rsidP="00923D47">
      <w:r>
        <w:separator/>
      </w:r>
    </w:p>
  </w:footnote>
  <w:footnote w:type="continuationSeparator" w:id="1">
    <w:p w:rsidR="00064352" w:rsidRDefault="00064352" w:rsidP="00923D4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23D47"/>
    <w:rsid w:val="00064352"/>
    <w:rsid w:val="00923D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23D4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23D47"/>
    <w:rPr>
      <w:sz w:val="18"/>
      <w:szCs w:val="18"/>
    </w:rPr>
  </w:style>
  <w:style w:type="paragraph" w:styleId="a4">
    <w:name w:val="footer"/>
    <w:basedOn w:val="a"/>
    <w:link w:val="Char0"/>
    <w:uiPriority w:val="99"/>
    <w:semiHidden/>
    <w:unhideWhenUsed/>
    <w:rsid w:val="00923D4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23D47"/>
    <w:rPr>
      <w:sz w:val="18"/>
      <w:szCs w:val="18"/>
    </w:rPr>
  </w:style>
</w:styles>
</file>

<file path=word/webSettings.xml><?xml version="1.0" encoding="utf-8"?>
<w:webSettings xmlns:r="http://schemas.openxmlformats.org/officeDocument/2006/relationships" xmlns:w="http://schemas.openxmlformats.org/wordprocessingml/2006/main">
  <w:divs>
    <w:div w:id="2127501114">
      <w:bodyDiv w:val="1"/>
      <w:marLeft w:val="0"/>
      <w:marRight w:val="0"/>
      <w:marTop w:val="0"/>
      <w:marBottom w:val="0"/>
      <w:divBdr>
        <w:top w:val="none" w:sz="0" w:space="0" w:color="auto"/>
        <w:left w:val="none" w:sz="0" w:space="0" w:color="auto"/>
        <w:bottom w:val="none" w:sz="0" w:space="0" w:color="auto"/>
        <w:right w:val="none" w:sz="0" w:space="0" w:color="auto"/>
      </w:divBdr>
      <w:divsChild>
        <w:div w:id="1407991032">
          <w:marLeft w:val="0"/>
          <w:marRight w:val="0"/>
          <w:marTop w:val="0"/>
          <w:marBottom w:val="0"/>
          <w:divBdr>
            <w:top w:val="none" w:sz="0" w:space="0" w:color="auto"/>
            <w:left w:val="none" w:sz="0" w:space="0" w:color="auto"/>
            <w:bottom w:val="none" w:sz="0" w:space="0" w:color="auto"/>
            <w:right w:val="none" w:sz="0" w:space="0" w:color="auto"/>
          </w:divBdr>
          <w:divsChild>
            <w:div w:id="947735960">
              <w:marLeft w:val="0"/>
              <w:marRight w:val="0"/>
              <w:marTop w:val="0"/>
              <w:marBottom w:val="0"/>
              <w:divBdr>
                <w:top w:val="none" w:sz="0" w:space="0" w:color="auto"/>
                <w:left w:val="none" w:sz="0" w:space="0" w:color="auto"/>
                <w:bottom w:val="none" w:sz="0" w:space="0" w:color="auto"/>
                <w:right w:val="none" w:sz="0" w:space="0" w:color="auto"/>
              </w:divBdr>
              <w:divsChild>
                <w:div w:id="389773529">
                  <w:marLeft w:val="0"/>
                  <w:marRight w:val="0"/>
                  <w:marTop w:val="0"/>
                  <w:marBottom w:val="0"/>
                  <w:divBdr>
                    <w:top w:val="none" w:sz="0" w:space="0" w:color="auto"/>
                    <w:left w:val="none" w:sz="0" w:space="0" w:color="auto"/>
                    <w:bottom w:val="none" w:sz="0" w:space="0" w:color="auto"/>
                    <w:right w:val="none" w:sz="0" w:space="0" w:color="auto"/>
                  </w:divBdr>
                  <w:divsChild>
                    <w:div w:id="1900900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221</Words>
  <Characters>1260</Characters>
  <Application>Microsoft Office Word</Application>
  <DocSecurity>0</DocSecurity>
  <Lines>10</Lines>
  <Paragraphs>2</Paragraphs>
  <ScaleCrop>false</ScaleCrop>
  <Company>Microsoft</Company>
  <LinksUpToDate>false</LinksUpToDate>
  <CharactersWithSpaces>1479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范雯</dc:creator>
  <cp:keywords/>
  <dc:description/>
  <cp:lastModifiedBy>范雯</cp:lastModifiedBy>
  <cp:revision>2</cp:revision>
  <dcterms:created xsi:type="dcterms:W3CDTF">2020-06-02T09:08:00Z</dcterms:created>
  <dcterms:modified xsi:type="dcterms:W3CDTF">2020-06-02T09:08:00Z</dcterms:modified>
</cp:coreProperties>
</file>