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陇川县城子镇中心卫生院2018年部门预算编制说明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预防保健科、门诊部、内科住院部、外科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59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</w:rPr>
        <w:t>59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51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</w:rPr>
        <w:t>59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</w:rPr>
        <w:t>33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</w:rPr>
        <w:t>33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696.06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</w:rPr>
        <w:t>100.37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</w:rPr>
        <w:t>796.43</w:t>
      </w:r>
      <w:r>
        <w:rPr>
          <w:rFonts w:eastAsia="仿宋_GB2312"/>
          <w:kern w:val="0"/>
          <w:sz w:val="30"/>
          <w:szCs w:val="30"/>
        </w:rPr>
        <w:t xml:space="preserve">万元。本级财力安排支出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696.06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622.66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73.74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</w:rPr>
        <w:t>1、事业单位离退休85.63万元。2、机关事业遗属生活补助0.36万元。3、乡镇卫生院人员工资498.65万元。4、住房公积金38.02万元。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</w:rPr>
        <w:t>1、工资福利支出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610.07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</w:rPr>
        <w:t>536.67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73.4</w:t>
      </w:r>
      <w:r>
        <w:rPr>
          <w:rFonts w:eastAsia="仿宋_GB2312"/>
          <w:kern w:val="0"/>
          <w:sz w:val="30"/>
          <w:szCs w:val="30"/>
        </w:rPr>
        <w:t>万元）。</w:t>
      </w:r>
      <w:r>
        <w:rPr>
          <w:rFonts w:hint="eastAsia" w:eastAsia="仿宋_GB2312"/>
          <w:kern w:val="0"/>
          <w:sz w:val="30"/>
          <w:szCs w:val="30"/>
        </w:rPr>
        <w:t>2、对个人和家庭补助支出86.35万元。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</w:rPr>
        <w:t>人员变动、工资增加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pStyle w:val="11"/>
        <w:spacing w:line="480" w:lineRule="auto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　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财政补助收入是行政事业单位从同级财政部门取得的财政预算资金，包括基本支出补助收入和项目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补助收入。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鉴于截至2017年12月31日的国有资产占有使用情况需在完成2017年决算编制后才能统计汇总相关数据，因此，将在公开2017年度部门决算时一并公开部门截至2017年12月31日的国有资产占有使用情况。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113"/>
    <w:rsid w:val="0000585F"/>
    <w:rsid w:val="0000790E"/>
    <w:rsid w:val="00010713"/>
    <w:rsid w:val="00011F4A"/>
    <w:rsid w:val="00012FB3"/>
    <w:rsid w:val="00014D4F"/>
    <w:rsid w:val="000152A5"/>
    <w:rsid w:val="000237AB"/>
    <w:rsid w:val="00024744"/>
    <w:rsid w:val="0003248D"/>
    <w:rsid w:val="00034005"/>
    <w:rsid w:val="0004070B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655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1F6777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059A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6586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120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1856"/>
    <w:rsid w:val="005E6A58"/>
    <w:rsid w:val="005F310F"/>
    <w:rsid w:val="00602B8A"/>
    <w:rsid w:val="0060314C"/>
    <w:rsid w:val="00603AE7"/>
    <w:rsid w:val="00614B12"/>
    <w:rsid w:val="006150EC"/>
    <w:rsid w:val="006164DB"/>
    <w:rsid w:val="0061679D"/>
    <w:rsid w:val="006253D8"/>
    <w:rsid w:val="00626153"/>
    <w:rsid w:val="006351FF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4BFD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B53D4"/>
    <w:rsid w:val="007B715B"/>
    <w:rsid w:val="007C05CB"/>
    <w:rsid w:val="007C3153"/>
    <w:rsid w:val="007C7656"/>
    <w:rsid w:val="007D066F"/>
    <w:rsid w:val="007D1AE5"/>
    <w:rsid w:val="007D5A91"/>
    <w:rsid w:val="007E3441"/>
    <w:rsid w:val="007E460F"/>
    <w:rsid w:val="007E529D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95FC2"/>
    <w:rsid w:val="009A08B6"/>
    <w:rsid w:val="009A2377"/>
    <w:rsid w:val="009A4D11"/>
    <w:rsid w:val="009B3ED3"/>
    <w:rsid w:val="009B4ADC"/>
    <w:rsid w:val="009C1730"/>
    <w:rsid w:val="009D6232"/>
    <w:rsid w:val="009E15D4"/>
    <w:rsid w:val="009F0A0D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B7EC6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03B2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745F9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39CC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3B2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4DC4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3A126D92"/>
    <w:rsid w:val="4584397E"/>
    <w:rsid w:val="74A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0FDD-4BC7-48BE-9435-C30EF69C25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4</Pages>
  <Words>228</Words>
  <Characters>1302</Characters>
  <Lines>10</Lines>
  <Paragraphs>3</Paragraphs>
  <TotalTime>0</TotalTime>
  <ScaleCrop>false</ScaleCrop>
  <LinksUpToDate>false</LinksUpToDate>
  <CharactersWithSpaces>1527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2018-01-10T01:08:00Z</cp:lastPrinted>
  <dcterms:modified xsi:type="dcterms:W3CDTF">2024-02-29T07:29:59Z</dcterms:modified>
  <dc:title>年部门预算编制说明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C5F5A7F2D86547BCA5E67CB6FB32729F</vt:lpwstr>
  </property>
</Properties>
</file>